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4F2" w:rsidRPr="00FC6199" w:rsidRDefault="00C164F2" w:rsidP="00C41380">
      <w:pPr>
        <w:spacing w:after="0"/>
        <w:rPr>
          <w:rStyle w:val="Emphasis"/>
          <w:rFonts w:ascii="Arial" w:hAnsi="Arial" w:cs="Arial"/>
          <w:i w:val="0"/>
        </w:rPr>
      </w:pPr>
    </w:p>
    <w:p w:rsidR="00C164F2" w:rsidRPr="00FC6199" w:rsidRDefault="00C164F2" w:rsidP="00C41380">
      <w:pPr>
        <w:spacing w:after="0"/>
        <w:rPr>
          <w:rFonts w:ascii="Arial" w:hAnsi="Arial" w:cs="Arial"/>
          <w:sz w:val="24"/>
          <w:szCs w:val="24"/>
          <w:lang w:eastAsia="en-GB"/>
        </w:rPr>
      </w:pPr>
    </w:p>
    <w:p w:rsidR="00C164F2" w:rsidRPr="00FC6199" w:rsidRDefault="00C164F2" w:rsidP="00C41380">
      <w:pPr>
        <w:spacing w:after="0"/>
        <w:rPr>
          <w:rFonts w:ascii="Arial" w:hAnsi="Arial" w:cs="Arial"/>
          <w:sz w:val="24"/>
          <w:szCs w:val="24"/>
          <w:lang w:eastAsia="en-GB"/>
        </w:rPr>
      </w:pPr>
    </w:p>
    <w:tbl>
      <w:tblPr>
        <w:tblW w:w="9889" w:type="dxa"/>
        <w:tblLook w:val="04A0" w:firstRow="1" w:lastRow="0" w:firstColumn="1" w:lastColumn="0" w:noHBand="0" w:noVBand="1"/>
      </w:tblPr>
      <w:tblGrid>
        <w:gridCol w:w="6487"/>
        <w:gridCol w:w="3402"/>
      </w:tblGrid>
      <w:tr w:rsidR="00FC6199" w:rsidRPr="00A52437" w:rsidTr="00FC6199">
        <w:tc>
          <w:tcPr>
            <w:tcW w:w="6487" w:type="dxa"/>
          </w:tcPr>
          <w:p w:rsidR="00FC6199" w:rsidRPr="00A52437" w:rsidRDefault="00FC6199" w:rsidP="00C41380">
            <w:pPr>
              <w:rPr>
                <w:rFonts w:ascii="Arial" w:hAnsi="Arial" w:cs="Arial"/>
                <w:b/>
                <w:noProof/>
                <w:sz w:val="28"/>
                <w:szCs w:val="28"/>
              </w:rPr>
            </w:pPr>
          </w:p>
          <w:p w:rsidR="00FC6199" w:rsidRPr="00A52437" w:rsidRDefault="00FC6199" w:rsidP="00C41380">
            <w:pPr>
              <w:rPr>
                <w:rFonts w:ascii="Arial" w:hAnsi="Arial" w:cs="Arial"/>
                <w:b/>
                <w:noProof/>
                <w:sz w:val="28"/>
                <w:szCs w:val="28"/>
              </w:rPr>
            </w:pPr>
          </w:p>
          <w:p w:rsidR="00FC6199" w:rsidRPr="00A52437" w:rsidRDefault="00FC6199" w:rsidP="00C41380">
            <w:pPr>
              <w:rPr>
                <w:rFonts w:ascii="Arial" w:hAnsi="Arial" w:cs="Arial"/>
                <w:b/>
                <w:noProof/>
                <w:sz w:val="28"/>
                <w:szCs w:val="28"/>
              </w:rPr>
            </w:pPr>
            <w:r w:rsidRPr="00332E46">
              <w:rPr>
                <w:rFonts w:ascii="Arial" w:hAnsi="Arial" w:cs="Arial"/>
                <w:b/>
                <w:noProof/>
                <w:sz w:val="32"/>
                <w:szCs w:val="28"/>
              </w:rPr>
              <w:t xml:space="preserve">UTC South Durham </w:t>
            </w:r>
            <w:r>
              <w:rPr>
                <w:rFonts w:ascii="Arial" w:hAnsi="Arial" w:cs="Arial"/>
                <w:b/>
                <w:noProof/>
                <w:sz w:val="32"/>
                <w:szCs w:val="28"/>
              </w:rPr>
              <w:t>Whistleblowing Policy</w:t>
            </w:r>
          </w:p>
        </w:tc>
        <w:tc>
          <w:tcPr>
            <w:tcW w:w="3402" w:type="dxa"/>
          </w:tcPr>
          <w:p w:rsidR="00FC6199" w:rsidRPr="00A52437" w:rsidRDefault="00DD27E4" w:rsidP="00C41380">
            <w:pPr>
              <w:rPr>
                <w:rFonts w:ascii="Arial" w:hAnsi="Arial" w:cs="Arial"/>
                <w:b/>
                <w:noProof/>
                <w:sz w:val="28"/>
                <w:szCs w:val="28"/>
              </w:rPr>
            </w:pPr>
            <w:r w:rsidRPr="00FC6199">
              <w:rPr>
                <w:rFonts w:ascii="Arial" w:hAnsi="Arial" w:cs="Arial"/>
                <w:b/>
                <w:noProof/>
                <w:sz w:val="28"/>
                <w:szCs w:val="28"/>
                <w:lang w:eastAsia="en-GB"/>
              </w:rPr>
              <w:drawing>
                <wp:inline distT="0" distB="0" distL="0" distR="0">
                  <wp:extent cx="1038225" cy="1352550"/>
                  <wp:effectExtent l="0" t="0" r="0" b="0"/>
                  <wp:docPr id="1"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1352550"/>
                          </a:xfrm>
                          <a:prstGeom prst="rect">
                            <a:avLst/>
                          </a:prstGeom>
                          <a:noFill/>
                          <a:ln>
                            <a:noFill/>
                          </a:ln>
                        </pic:spPr>
                      </pic:pic>
                    </a:graphicData>
                  </a:graphic>
                </wp:inline>
              </w:drawing>
            </w:r>
          </w:p>
        </w:tc>
      </w:tr>
    </w:tbl>
    <w:p w:rsidR="00FC6199" w:rsidRPr="00660CEA" w:rsidRDefault="00FC6199" w:rsidP="00C41380">
      <w:pPr>
        <w:pStyle w:val="NoSpacing"/>
        <w:rPr>
          <w:rFonts w:ascii="Arial" w:hAnsi="Arial" w:cs="Arial"/>
        </w:rPr>
      </w:pPr>
    </w:p>
    <w:p w:rsidR="00FC6199" w:rsidRDefault="00FC6199" w:rsidP="00C41380">
      <w:pPr>
        <w:pStyle w:val="NoSpacing"/>
        <w:rPr>
          <w:rFonts w:ascii="Arial" w:hAnsi="Arial" w:cs="Arial"/>
        </w:rPr>
      </w:pPr>
    </w:p>
    <w:p w:rsidR="00FC6199" w:rsidRPr="00660CEA" w:rsidRDefault="00FC6199" w:rsidP="00C41380">
      <w:pPr>
        <w:pStyle w:val="NoSpacing"/>
        <w:rPr>
          <w:rFonts w:ascii="Arial" w:hAnsi="Arial" w:cs="Arial"/>
        </w:rPr>
      </w:pPr>
    </w:p>
    <w:p w:rsidR="00FC6199" w:rsidRPr="00660CEA" w:rsidRDefault="00FC6199" w:rsidP="00C41380">
      <w:pPr>
        <w:pStyle w:val="NoSpacing"/>
        <w:rPr>
          <w:rFonts w:ascii="Arial" w:hAnsi="Arial" w:cs="Arial"/>
        </w:rPr>
      </w:pPr>
    </w:p>
    <w:tbl>
      <w:tblPr>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621"/>
        <w:gridCol w:w="4621"/>
      </w:tblGrid>
      <w:tr w:rsidR="00FC6199" w:rsidRPr="002B5C60" w:rsidTr="00FC6199">
        <w:trPr>
          <w:trHeight w:val="737"/>
        </w:trPr>
        <w:tc>
          <w:tcPr>
            <w:tcW w:w="4621" w:type="dxa"/>
            <w:shd w:val="clear" w:color="auto" w:fill="auto"/>
            <w:hideMark/>
          </w:tcPr>
          <w:p w:rsidR="00FC6199" w:rsidRPr="00FC6199" w:rsidRDefault="00FC6199" w:rsidP="00C41380">
            <w:pPr>
              <w:spacing w:before="240" w:after="240"/>
              <w:rPr>
                <w:rFonts w:ascii="Arial" w:hAnsi="Arial" w:cs="Arial"/>
              </w:rPr>
            </w:pPr>
            <w:r w:rsidRPr="00FC6199">
              <w:rPr>
                <w:rFonts w:ascii="Arial" w:eastAsia="Verdana" w:hAnsi="Arial" w:cs="Arial"/>
                <w:b/>
                <w:bCs/>
              </w:rPr>
              <w:t>D</w:t>
            </w:r>
            <w:r w:rsidRPr="00FC6199">
              <w:rPr>
                <w:rFonts w:ascii="Arial" w:eastAsia="Verdana" w:hAnsi="Arial" w:cs="Arial"/>
                <w:b/>
                <w:bCs/>
                <w:spacing w:val="-1"/>
              </w:rPr>
              <w:t>a</w:t>
            </w:r>
            <w:r w:rsidRPr="00FC6199">
              <w:rPr>
                <w:rFonts w:ascii="Arial" w:eastAsia="Verdana" w:hAnsi="Arial" w:cs="Arial"/>
                <w:b/>
                <w:bCs/>
              </w:rPr>
              <w:t>te</w:t>
            </w:r>
            <w:r w:rsidRPr="00FC6199">
              <w:rPr>
                <w:rFonts w:ascii="Arial" w:eastAsia="Verdana" w:hAnsi="Arial" w:cs="Arial"/>
                <w:b/>
                <w:bCs/>
                <w:spacing w:val="-8"/>
              </w:rPr>
              <w:t xml:space="preserve"> </w:t>
            </w:r>
            <w:r w:rsidRPr="00FC6199">
              <w:rPr>
                <w:rFonts w:ascii="Arial" w:eastAsia="Verdana" w:hAnsi="Arial" w:cs="Arial"/>
                <w:b/>
                <w:bCs/>
              </w:rPr>
              <w:t>of</w:t>
            </w:r>
            <w:r w:rsidRPr="00FC6199">
              <w:rPr>
                <w:rFonts w:ascii="Arial" w:eastAsia="Verdana" w:hAnsi="Arial" w:cs="Arial"/>
                <w:b/>
                <w:bCs/>
                <w:spacing w:val="-9"/>
              </w:rPr>
              <w:t xml:space="preserve"> </w:t>
            </w:r>
            <w:r w:rsidRPr="00FC6199">
              <w:rPr>
                <w:rFonts w:ascii="Arial" w:eastAsia="Verdana" w:hAnsi="Arial" w:cs="Arial"/>
                <w:b/>
                <w:bCs/>
                <w:spacing w:val="-1"/>
              </w:rPr>
              <w:t>a</w:t>
            </w:r>
            <w:r w:rsidRPr="00FC6199">
              <w:rPr>
                <w:rFonts w:ascii="Arial" w:eastAsia="Verdana" w:hAnsi="Arial" w:cs="Arial"/>
                <w:b/>
                <w:bCs/>
                <w:spacing w:val="2"/>
              </w:rPr>
              <w:t>d</w:t>
            </w:r>
            <w:r w:rsidRPr="00FC6199">
              <w:rPr>
                <w:rFonts w:ascii="Arial" w:eastAsia="Verdana" w:hAnsi="Arial" w:cs="Arial"/>
                <w:b/>
                <w:bCs/>
              </w:rPr>
              <w:t>opt</w:t>
            </w:r>
            <w:r w:rsidRPr="00FC6199">
              <w:rPr>
                <w:rFonts w:ascii="Arial" w:eastAsia="Verdana" w:hAnsi="Arial" w:cs="Arial"/>
                <w:b/>
                <w:bCs/>
                <w:spacing w:val="1"/>
              </w:rPr>
              <w:t>i</w:t>
            </w:r>
            <w:r w:rsidRPr="00FC6199">
              <w:rPr>
                <w:rFonts w:ascii="Arial" w:eastAsia="Verdana" w:hAnsi="Arial" w:cs="Arial"/>
                <w:b/>
                <w:bCs/>
              </w:rPr>
              <w:t>on</w:t>
            </w:r>
          </w:p>
        </w:tc>
        <w:tc>
          <w:tcPr>
            <w:tcW w:w="4621" w:type="dxa"/>
            <w:shd w:val="clear" w:color="auto" w:fill="auto"/>
            <w:hideMark/>
          </w:tcPr>
          <w:p w:rsidR="00FC6199" w:rsidRPr="00FC6199" w:rsidRDefault="00D64319" w:rsidP="00C41380">
            <w:pPr>
              <w:spacing w:before="240" w:after="240"/>
              <w:rPr>
                <w:rFonts w:ascii="Arial" w:hAnsi="Arial" w:cs="Arial"/>
              </w:rPr>
            </w:pPr>
            <w:r>
              <w:rPr>
                <w:rFonts w:ascii="Arial" w:eastAsia="Verdana" w:hAnsi="Arial" w:cs="Arial"/>
                <w:spacing w:val="-8"/>
              </w:rPr>
              <w:t>December 2025</w:t>
            </w:r>
          </w:p>
        </w:tc>
      </w:tr>
      <w:tr w:rsidR="00FC6199" w:rsidRPr="002B5C60" w:rsidTr="00FC6199">
        <w:trPr>
          <w:trHeight w:val="737"/>
        </w:trPr>
        <w:tc>
          <w:tcPr>
            <w:tcW w:w="4621" w:type="dxa"/>
            <w:shd w:val="clear" w:color="auto" w:fill="auto"/>
            <w:hideMark/>
          </w:tcPr>
          <w:p w:rsidR="00FC6199" w:rsidRPr="00FC6199" w:rsidRDefault="00FC6199" w:rsidP="00C41380">
            <w:pPr>
              <w:spacing w:before="240" w:after="240"/>
              <w:rPr>
                <w:rFonts w:ascii="Arial" w:hAnsi="Arial" w:cs="Arial"/>
              </w:rPr>
            </w:pPr>
            <w:r w:rsidRPr="00FC6199">
              <w:rPr>
                <w:rFonts w:ascii="Arial" w:eastAsia="Verdana" w:hAnsi="Arial" w:cs="Arial"/>
                <w:b/>
                <w:bCs/>
                <w:spacing w:val="-2"/>
              </w:rPr>
              <w:t>A</w:t>
            </w:r>
            <w:r w:rsidRPr="00FC6199">
              <w:rPr>
                <w:rFonts w:ascii="Arial" w:eastAsia="Verdana" w:hAnsi="Arial" w:cs="Arial"/>
                <w:b/>
                <w:bCs/>
              </w:rPr>
              <w:t>p</w:t>
            </w:r>
            <w:r w:rsidRPr="00FC6199">
              <w:rPr>
                <w:rFonts w:ascii="Arial" w:eastAsia="Verdana" w:hAnsi="Arial" w:cs="Arial"/>
                <w:b/>
                <w:bCs/>
                <w:spacing w:val="2"/>
              </w:rPr>
              <w:t>p</w:t>
            </w:r>
            <w:r w:rsidRPr="00FC6199">
              <w:rPr>
                <w:rFonts w:ascii="Arial" w:eastAsia="Verdana" w:hAnsi="Arial" w:cs="Arial"/>
                <w:b/>
                <w:bCs/>
                <w:spacing w:val="-1"/>
              </w:rPr>
              <w:t>r</w:t>
            </w:r>
            <w:r w:rsidRPr="00FC6199">
              <w:rPr>
                <w:rFonts w:ascii="Arial" w:eastAsia="Verdana" w:hAnsi="Arial" w:cs="Arial"/>
                <w:b/>
                <w:bCs/>
              </w:rPr>
              <w:t>ov</w:t>
            </w:r>
            <w:r w:rsidRPr="00FC6199">
              <w:rPr>
                <w:rFonts w:ascii="Arial" w:eastAsia="Verdana" w:hAnsi="Arial" w:cs="Arial"/>
                <w:b/>
                <w:bCs/>
                <w:spacing w:val="2"/>
              </w:rPr>
              <w:t>e</w:t>
            </w:r>
            <w:r w:rsidRPr="00FC6199">
              <w:rPr>
                <w:rFonts w:ascii="Arial" w:eastAsia="Verdana" w:hAnsi="Arial" w:cs="Arial"/>
                <w:b/>
                <w:bCs/>
              </w:rPr>
              <w:t>d</w:t>
            </w:r>
            <w:r w:rsidRPr="00FC6199">
              <w:rPr>
                <w:rFonts w:ascii="Arial" w:eastAsia="Verdana" w:hAnsi="Arial" w:cs="Arial"/>
                <w:b/>
                <w:bCs/>
                <w:spacing w:val="-16"/>
              </w:rPr>
              <w:t xml:space="preserve"> </w:t>
            </w:r>
            <w:r w:rsidRPr="00FC6199">
              <w:rPr>
                <w:rFonts w:ascii="Arial" w:eastAsia="Verdana" w:hAnsi="Arial" w:cs="Arial"/>
                <w:b/>
                <w:bCs/>
                <w:spacing w:val="2"/>
              </w:rPr>
              <w:t>b</w:t>
            </w:r>
            <w:r w:rsidRPr="00FC6199">
              <w:rPr>
                <w:rFonts w:ascii="Arial" w:eastAsia="Verdana" w:hAnsi="Arial" w:cs="Arial"/>
                <w:b/>
                <w:bCs/>
              </w:rPr>
              <w:t>y</w:t>
            </w:r>
          </w:p>
        </w:tc>
        <w:tc>
          <w:tcPr>
            <w:tcW w:w="4621" w:type="dxa"/>
            <w:shd w:val="clear" w:color="auto" w:fill="auto"/>
            <w:hideMark/>
          </w:tcPr>
          <w:p w:rsidR="00FC6199" w:rsidRPr="00FC6199" w:rsidRDefault="00FC6199" w:rsidP="00C41380">
            <w:pPr>
              <w:spacing w:before="240" w:after="240"/>
              <w:rPr>
                <w:rFonts w:ascii="Arial" w:hAnsi="Arial" w:cs="Arial"/>
              </w:rPr>
            </w:pPr>
            <w:r w:rsidRPr="00FC6199">
              <w:rPr>
                <w:rFonts w:ascii="Arial" w:eastAsia="Verdana" w:hAnsi="Arial" w:cs="Arial"/>
              </w:rPr>
              <w:t>G</w:t>
            </w:r>
            <w:r w:rsidRPr="00FC6199">
              <w:rPr>
                <w:rFonts w:ascii="Arial" w:eastAsia="Verdana" w:hAnsi="Arial" w:cs="Arial"/>
                <w:spacing w:val="-1"/>
              </w:rPr>
              <w:t>o</w:t>
            </w:r>
            <w:r w:rsidRPr="00FC6199">
              <w:rPr>
                <w:rFonts w:ascii="Arial" w:eastAsia="Verdana" w:hAnsi="Arial" w:cs="Arial"/>
                <w:spacing w:val="1"/>
              </w:rPr>
              <w:t>v</w:t>
            </w:r>
            <w:r w:rsidRPr="00FC6199">
              <w:rPr>
                <w:rFonts w:ascii="Arial" w:eastAsia="Verdana" w:hAnsi="Arial" w:cs="Arial"/>
                <w:spacing w:val="-2"/>
              </w:rPr>
              <w:t>e</w:t>
            </w:r>
            <w:r w:rsidRPr="00FC6199">
              <w:rPr>
                <w:rFonts w:ascii="Arial" w:eastAsia="Verdana" w:hAnsi="Arial" w:cs="Arial"/>
                <w:spacing w:val="-1"/>
              </w:rPr>
              <w:t>r</w:t>
            </w:r>
            <w:r w:rsidRPr="00FC6199">
              <w:rPr>
                <w:rFonts w:ascii="Arial" w:eastAsia="Verdana" w:hAnsi="Arial" w:cs="Arial"/>
                <w:spacing w:val="1"/>
              </w:rPr>
              <w:t>n</w:t>
            </w:r>
            <w:r w:rsidRPr="00FC6199">
              <w:rPr>
                <w:rFonts w:ascii="Arial" w:eastAsia="Verdana" w:hAnsi="Arial" w:cs="Arial"/>
                <w:spacing w:val="2"/>
              </w:rPr>
              <w:t>i</w:t>
            </w:r>
            <w:r w:rsidRPr="00FC6199">
              <w:rPr>
                <w:rFonts w:ascii="Arial" w:eastAsia="Verdana" w:hAnsi="Arial" w:cs="Arial"/>
                <w:spacing w:val="1"/>
              </w:rPr>
              <w:t>n</w:t>
            </w:r>
            <w:r w:rsidRPr="00FC6199">
              <w:rPr>
                <w:rFonts w:ascii="Arial" w:eastAsia="Verdana" w:hAnsi="Arial" w:cs="Arial"/>
              </w:rPr>
              <w:t>g</w:t>
            </w:r>
            <w:r w:rsidRPr="00FC6199">
              <w:rPr>
                <w:rFonts w:ascii="Arial" w:eastAsia="Verdana" w:hAnsi="Arial" w:cs="Arial"/>
                <w:spacing w:val="-10"/>
              </w:rPr>
              <w:t xml:space="preserve"> </w:t>
            </w:r>
            <w:r w:rsidRPr="00FC6199">
              <w:rPr>
                <w:rFonts w:ascii="Arial" w:eastAsia="Verdana" w:hAnsi="Arial" w:cs="Arial"/>
              </w:rPr>
              <w:t>B</w:t>
            </w:r>
            <w:r w:rsidRPr="00FC6199">
              <w:rPr>
                <w:rFonts w:ascii="Arial" w:eastAsia="Verdana" w:hAnsi="Arial" w:cs="Arial"/>
                <w:spacing w:val="-2"/>
              </w:rPr>
              <w:t>o</w:t>
            </w:r>
            <w:r w:rsidRPr="00FC6199">
              <w:rPr>
                <w:rFonts w:ascii="Arial" w:eastAsia="Verdana" w:hAnsi="Arial" w:cs="Arial"/>
              </w:rPr>
              <w:t>dy</w:t>
            </w:r>
          </w:p>
        </w:tc>
      </w:tr>
      <w:tr w:rsidR="00FC6199" w:rsidRPr="002B5C60" w:rsidTr="00FC6199">
        <w:trPr>
          <w:trHeight w:val="1134"/>
        </w:trPr>
        <w:tc>
          <w:tcPr>
            <w:tcW w:w="4621" w:type="dxa"/>
            <w:shd w:val="clear" w:color="auto" w:fill="auto"/>
            <w:hideMark/>
          </w:tcPr>
          <w:p w:rsidR="00FC6199" w:rsidRDefault="00FC6199" w:rsidP="00C413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FC6199">
              <w:rPr>
                <w:rFonts w:ascii="Arial" w:eastAsia="Cambria" w:hAnsi="Arial" w:cs="Arial"/>
                <w:b/>
                <w:color w:val="000000"/>
              </w:rPr>
              <w:t>Signed:</w:t>
            </w:r>
            <w:r w:rsidRPr="00FC6199">
              <w:rPr>
                <w:rFonts w:ascii="Arial" w:eastAsia="Cambria" w:hAnsi="Arial" w:cs="Arial"/>
                <w:color w:val="000000"/>
              </w:rPr>
              <w:t xml:space="preserve"> (Principal)</w:t>
            </w:r>
          </w:p>
          <w:p w:rsidR="00FC6FA9" w:rsidRPr="00FC6199" w:rsidRDefault="00DD27E4" w:rsidP="00C413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FC6FA9">
              <w:rPr>
                <w:rFonts w:ascii="Arial" w:eastAsia="Cambria" w:hAnsi="Arial" w:cs="Arial"/>
                <w:noProof/>
                <w:color w:val="000000"/>
                <w:lang w:eastAsia="en-GB"/>
              </w:rPr>
              <w:drawing>
                <wp:inline distT="0" distB="0" distL="0" distR="0">
                  <wp:extent cx="1247775" cy="333375"/>
                  <wp:effectExtent l="0" t="0" r="0" b="0"/>
                  <wp:docPr id="2" name="Picture 3" descr="T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333375"/>
                          </a:xfrm>
                          <a:prstGeom prst="rect">
                            <a:avLst/>
                          </a:prstGeom>
                          <a:noFill/>
                          <a:ln>
                            <a:noFill/>
                          </a:ln>
                        </pic:spPr>
                      </pic:pic>
                    </a:graphicData>
                  </a:graphic>
                </wp:inline>
              </w:drawing>
            </w:r>
          </w:p>
        </w:tc>
        <w:tc>
          <w:tcPr>
            <w:tcW w:w="4621" w:type="dxa"/>
            <w:shd w:val="clear" w:color="auto" w:fill="auto"/>
            <w:hideMark/>
          </w:tcPr>
          <w:p w:rsidR="00FC6199" w:rsidRDefault="00FC6199" w:rsidP="00C41380">
            <w:pPr>
              <w:spacing w:before="120" w:after="100" w:afterAutospacing="1"/>
              <w:rPr>
                <w:rFonts w:ascii="Arial" w:eastAsia="Cambria" w:hAnsi="Arial" w:cs="Arial"/>
                <w:color w:val="000000"/>
              </w:rPr>
            </w:pPr>
            <w:r w:rsidRPr="00FC6199">
              <w:rPr>
                <w:rFonts w:ascii="Arial" w:eastAsia="Cambria" w:hAnsi="Arial" w:cs="Arial"/>
                <w:b/>
                <w:color w:val="000000"/>
              </w:rPr>
              <w:t>Date:</w:t>
            </w:r>
            <w:r w:rsidRPr="00FC6199">
              <w:rPr>
                <w:rFonts w:ascii="Arial" w:eastAsia="Cambria" w:hAnsi="Arial" w:cs="Arial"/>
                <w:color w:val="000000"/>
              </w:rPr>
              <w:tab/>
            </w:r>
          </w:p>
          <w:p w:rsidR="00C843D0" w:rsidRDefault="00C843D0" w:rsidP="00C41380">
            <w:pPr>
              <w:spacing w:before="120" w:after="100" w:afterAutospacing="1"/>
              <w:rPr>
                <w:rFonts w:ascii="Arial" w:eastAsia="Cambria" w:hAnsi="Arial" w:cs="Arial"/>
                <w:color w:val="000000"/>
              </w:rPr>
            </w:pPr>
            <w:r>
              <w:rPr>
                <w:rFonts w:ascii="Arial" w:hAnsi="Arial" w:cs="Arial"/>
              </w:rPr>
              <w:t>12 December 2025</w:t>
            </w:r>
          </w:p>
          <w:p w:rsidR="00D64319" w:rsidRDefault="00D64319" w:rsidP="00C41380">
            <w:pPr>
              <w:spacing w:before="120" w:after="100" w:afterAutospacing="1"/>
              <w:rPr>
                <w:rFonts w:ascii="Arial" w:eastAsia="Cambria" w:hAnsi="Arial" w:cs="Arial"/>
                <w:color w:val="000000"/>
              </w:rPr>
            </w:pPr>
          </w:p>
          <w:p w:rsidR="00FC6FA9" w:rsidRPr="00FC6199" w:rsidRDefault="00FC6FA9" w:rsidP="00C41380">
            <w:pPr>
              <w:spacing w:before="120" w:after="100" w:afterAutospacing="1"/>
              <w:rPr>
                <w:rFonts w:ascii="Arial" w:hAnsi="Arial" w:cs="Arial"/>
              </w:rPr>
            </w:pPr>
          </w:p>
        </w:tc>
      </w:tr>
      <w:tr w:rsidR="00FC6199" w:rsidRPr="002B5C60" w:rsidTr="00FC6199">
        <w:trPr>
          <w:trHeight w:val="1134"/>
        </w:trPr>
        <w:tc>
          <w:tcPr>
            <w:tcW w:w="4621" w:type="dxa"/>
            <w:shd w:val="clear" w:color="auto" w:fill="auto"/>
            <w:hideMark/>
          </w:tcPr>
          <w:p w:rsidR="00FC6199" w:rsidRDefault="00FC6199" w:rsidP="00C41380">
            <w:pPr>
              <w:spacing w:before="120" w:after="100" w:afterAutospacing="1"/>
              <w:rPr>
                <w:rFonts w:ascii="Arial" w:eastAsia="Cambria" w:hAnsi="Arial" w:cs="Arial"/>
                <w:color w:val="000000"/>
              </w:rPr>
            </w:pPr>
            <w:r w:rsidRPr="00FC6199">
              <w:rPr>
                <w:rFonts w:ascii="Arial" w:eastAsia="Cambria" w:hAnsi="Arial" w:cs="Arial"/>
                <w:b/>
                <w:color w:val="000000"/>
              </w:rPr>
              <w:t>Signed:</w:t>
            </w:r>
            <w:r w:rsidRPr="00FC6199">
              <w:rPr>
                <w:rFonts w:ascii="Arial" w:eastAsia="Cambria" w:hAnsi="Arial" w:cs="Arial"/>
                <w:color w:val="000000"/>
              </w:rPr>
              <w:t xml:space="preserve"> (Chair of Governors)</w:t>
            </w:r>
          </w:p>
          <w:p w:rsidR="00FC6FA9" w:rsidRPr="00FC6199" w:rsidRDefault="00DD27E4" w:rsidP="00C41380">
            <w:pPr>
              <w:spacing w:before="120" w:after="100" w:afterAutospacing="1"/>
              <w:rPr>
                <w:rFonts w:ascii="Arial" w:hAnsi="Arial" w:cs="Arial"/>
              </w:rPr>
            </w:pPr>
            <w:r w:rsidRPr="00E455CD">
              <w:rPr>
                <w:noProof/>
                <w:lang w:eastAsia="en-GB"/>
              </w:rPr>
              <w:drawing>
                <wp:inline distT="0" distB="0" distL="0" distR="0">
                  <wp:extent cx="1343025" cy="6096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609600"/>
                          </a:xfrm>
                          <a:prstGeom prst="rect">
                            <a:avLst/>
                          </a:prstGeom>
                          <a:noFill/>
                          <a:ln>
                            <a:noFill/>
                          </a:ln>
                        </pic:spPr>
                      </pic:pic>
                    </a:graphicData>
                  </a:graphic>
                </wp:inline>
              </w:drawing>
            </w:r>
          </w:p>
        </w:tc>
        <w:tc>
          <w:tcPr>
            <w:tcW w:w="4621" w:type="dxa"/>
            <w:shd w:val="clear" w:color="auto" w:fill="auto"/>
            <w:hideMark/>
          </w:tcPr>
          <w:p w:rsidR="00FC6199" w:rsidRDefault="00FC6199" w:rsidP="00C41380">
            <w:pPr>
              <w:spacing w:before="120" w:after="100" w:afterAutospacing="1"/>
              <w:rPr>
                <w:rFonts w:ascii="Arial" w:eastAsia="Cambria" w:hAnsi="Arial" w:cs="Arial"/>
                <w:b/>
                <w:color w:val="000000"/>
              </w:rPr>
            </w:pPr>
            <w:r w:rsidRPr="00FC6199">
              <w:rPr>
                <w:rFonts w:ascii="Arial" w:eastAsia="Cambria" w:hAnsi="Arial" w:cs="Arial"/>
                <w:b/>
                <w:color w:val="000000"/>
              </w:rPr>
              <w:t>Date:</w:t>
            </w:r>
            <w:r w:rsidRPr="00FC6199">
              <w:rPr>
                <w:rFonts w:ascii="Arial" w:eastAsia="Cambria" w:hAnsi="Arial" w:cs="Arial"/>
                <w:b/>
                <w:color w:val="000000"/>
              </w:rPr>
              <w:tab/>
            </w:r>
          </w:p>
          <w:p w:rsidR="00C843D0" w:rsidRDefault="00C843D0" w:rsidP="00C41380">
            <w:pPr>
              <w:spacing w:before="120" w:after="100" w:afterAutospacing="1"/>
              <w:rPr>
                <w:rFonts w:ascii="Arial" w:eastAsia="Cambria" w:hAnsi="Arial" w:cs="Arial"/>
                <w:color w:val="000000"/>
              </w:rPr>
            </w:pPr>
            <w:r>
              <w:rPr>
                <w:rFonts w:ascii="Arial" w:hAnsi="Arial" w:cs="Arial"/>
              </w:rPr>
              <w:t>12 December 2025</w:t>
            </w:r>
            <w:bookmarkStart w:id="0" w:name="_GoBack"/>
            <w:bookmarkEnd w:id="0"/>
          </w:p>
          <w:p w:rsidR="00D64319" w:rsidRDefault="00D64319" w:rsidP="00C41380">
            <w:pPr>
              <w:spacing w:before="120" w:after="100" w:afterAutospacing="1"/>
              <w:rPr>
                <w:rFonts w:ascii="Arial" w:eastAsia="Cambria" w:hAnsi="Arial" w:cs="Arial"/>
                <w:b/>
                <w:color w:val="000000"/>
              </w:rPr>
            </w:pPr>
          </w:p>
          <w:p w:rsidR="00FC6FA9" w:rsidRPr="00FC6FA9" w:rsidRDefault="00FC6FA9" w:rsidP="00C41380">
            <w:pPr>
              <w:spacing w:before="120" w:after="100" w:afterAutospacing="1"/>
              <w:rPr>
                <w:rFonts w:ascii="Arial" w:hAnsi="Arial" w:cs="Arial"/>
              </w:rPr>
            </w:pPr>
          </w:p>
        </w:tc>
      </w:tr>
    </w:tbl>
    <w:p w:rsidR="00FC6199" w:rsidRPr="002B5C60" w:rsidRDefault="00FC6199" w:rsidP="00C41380">
      <w:pPr>
        <w:pStyle w:val="NoSpacing"/>
        <w:rPr>
          <w:rFonts w:ascii="Arial" w:hAnsi="Arial" w:cs="Arial"/>
        </w:rPr>
      </w:pPr>
    </w:p>
    <w:p w:rsidR="0003067E" w:rsidRPr="002B5C60" w:rsidRDefault="0003067E" w:rsidP="0003067E">
      <w:pPr>
        <w:pStyle w:val="NoSpacing"/>
        <w:rPr>
          <w:rFonts w:ascii="Arial" w:hAnsi="Arial" w:cs="Arial"/>
        </w:rPr>
      </w:pPr>
    </w:p>
    <w:tbl>
      <w:tblPr>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621"/>
        <w:gridCol w:w="4621"/>
      </w:tblGrid>
      <w:tr w:rsidR="0003067E" w:rsidRPr="002B5C60" w:rsidTr="00973343">
        <w:trPr>
          <w:trHeight w:val="737"/>
        </w:trPr>
        <w:tc>
          <w:tcPr>
            <w:tcW w:w="4621" w:type="dxa"/>
            <w:shd w:val="clear" w:color="auto" w:fill="auto"/>
            <w:hideMark/>
          </w:tcPr>
          <w:p w:rsidR="0003067E" w:rsidRPr="00973343" w:rsidRDefault="0003067E" w:rsidP="00973343">
            <w:pPr>
              <w:spacing w:before="240" w:after="240"/>
              <w:rPr>
                <w:rFonts w:ascii="Arial" w:eastAsia="Verdana" w:hAnsi="Arial" w:cs="Arial"/>
                <w:b/>
                <w:bCs/>
              </w:rPr>
            </w:pPr>
            <w:r w:rsidRPr="00973343">
              <w:rPr>
                <w:rFonts w:ascii="Arial" w:eastAsia="Verdana" w:hAnsi="Arial" w:cs="Arial"/>
                <w:b/>
                <w:bCs/>
              </w:rPr>
              <w:t>Date to be reviewed by</w:t>
            </w:r>
          </w:p>
        </w:tc>
        <w:tc>
          <w:tcPr>
            <w:tcW w:w="4621" w:type="dxa"/>
            <w:shd w:val="clear" w:color="auto" w:fill="auto"/>
            <w:hideMark/>
          </w:tcPr>
          <w:p w:rsidR="0003067E" w:rsidRPr="00973343" w:rsidRDefault="00D64319" w:rsidP="00973343">
            <w:pPr>
              <w:spacing w:before="240" w:after="240"/>
              <w:rPr>
                <w:rFonts w:ascii="Arial" w:hAnsi="Arial" w:cs="Arial"/>
              </w:rPr>
            </w:pPr>
            <w:r>
              <w:rPr>
                <w:rFonts w:ascii="Arial" w:hAnsi="Arial" w:cs="Arial"/>
              </w:rPr>
              <w:t>October</w:t>
            </w:r>
            <w:r w:rsidR="0003067E" w:rsidRPr="00973343">
              <w:rPr>
                <w:rFonts w:ascii="Arial" w:hAnsi="Arial" w:cs="Arial"/>
              </w:rPr>
              <w:t xml:space="preserve"> 202</w:t>
            </w:r>
            <w:r>
              <w:rPr>
                <w:rFonts w:ascii="Arial" w:hAnsi="Arial" w:cs="Arial"/>
              </w:rPr>
              <w:t>8</w:t>
            </w:r>
          </w:p>
        </w:tc>
      </w:tr>
      <w:tr w:rsidR="0003067E" w:rsidRPr="002B5C60" w:rsidTr="00973343">
        <w:trPr>
          <w:trHeight w:val="737"/>
        </w:trPr>
        <w:tc>
          <w:tcPr>
            <w:tcW w:w="4621" w:type="dxa"/>
            <w:shd w:val="clear" w:color="auto" w:fill="auto"/>
          </w:tcPr>
          <w:p w:rsidR="0003067E" w:rsidRPr="00973343" w:rsidRDefault="0003067E" w:rsidP="00973343">
            <w:pPr>
              <w:spacing w:before="240" w:after="240"/>
              <w:rPr>
                <w:rFonts w:ascii="Arial" w:eastAsia="Verdana" w:hAnsi="Arial" w:cs="Arial"/>
                <w:b/>
                <w:bCs/>
              </w:rPr>
            </w:pPr>
            <w:r w:rsidRPr="00973343">
              <w:rPr>
                <w:rFonts w:ascii="Arial" w:eastAsia="Verdana" w:hAnsi="Arial" w:cs="Arial"/>
                <w:b/>
                <w:bCs/>
              </w:rPr>
              <w:t>Review History</w:t>
            </w:r>
          </w:p>
        </w:tc>
        <w:tc>
          <w:tcPr>
            <w:tcW w:w="4621" w:type="dxa"/>
            <w:shd w:val="clear" w:color="auto" w:fill="auto"/>
          </w:tcPr>
          <w:p w:rsidR="0003067E" w:rsidRPr="00973343" w:rsidRDefault="0003067E" w:rsidP="00973343">
            <w:pPr>
              <w:spacing w:before="240" w:after="240"/>
              <w:rPr>
                <w:rFonts w:ascii="Arial" w:hAnsi="Arial" w:cs="Arial"/>
              </w:rPr>
            </w:pPr>
            <w:r w:rsidRPr="00973343">
              <w:rPr>
                <w:rFonts w:ascii="Arial" w:hAnsi="Arial" w:cs="Arial"/>
              </w:rPr>
              <w:t>Reviewed – Jean Bell Sept 18</w:t>
            </w:r>
          </w:p>
          <w:p w:rsidR="0003067E" w:rsidRPr="00973343" w:rsidRDefault="0003067E" w:rsidP="00973343">
            <w:pPr>
              <w:spacing w:before="240" w:after="240"/>
              <w:rPr>
                <w:rFonts w:ascii="Arial" w:hAnsi="Arial" w:cs="Arial"/>
              </w:rPr>
            </w:pPr>
            <w:r w:rsidRPr="00973343">
              <w:rPr>
                <w:rFonts w:ascii="Arial" w:hAnsi="Arial" w:cs="Arial"/>
              </w:rPr>
              <w:t xml:space="preserve">Reviewed – Tom </w:t>
            </w:r>
            <w:proofErr w:type="gramStart"/>
            <w:r w:rsidRPr="00973343">
              <w:rPr>
                <w:rFonts w:ascii="Arial" w:hAnsi="Arial" w:cs="Arial"/>
              </w:rPr>
              <w:t>Dower  Nov</w:t>
            </w:r>
            <w:proofErr w:type="gramEnd"/>
            <w:r w:rsidRPr="00973343">
              <w:rPr>
                <w:rFonts w:ascii="Arial" w:hAnsi="Arial" w:cs="Arial"/>
              </w:rPr>
              <w:t xml:space="preserve"> 19</w:t>
            </w:r>
          </w:p>
          <w:p w:rsidR="0003067E" w:rsidRDefault="0003067E" w:rsidP="00973343">
            <w:pPr>
              <w:spacing w:before="240" w:after="240"/>
              <w:rPr>
                <w:rFonts w:ascii="Arial" w:hAnsi="Arial" w:cs="Arial"/>
              </w:rPr>
            </w:pPr>
            <w:r w:rsidRPr="00973343">
              <w:rPr>
                <w:rFonts w:ascii="Arial" w:hAnsi="Arial" w:cs="Arial"/>
              </w:rPr>
              <w:t xml:space="preserve">Reviewed – Tom Dower June 22 </w:t>
            </w:r>
          </w:p>
          <w:p w:rsidR="00D64319" w:rsidRPr="00973343" w:rsidRDefault="00D64319" w:rsidP="00973343">
            <w:pPr>
              <w:spacing w:before="240" w:after="240"/>
              <w:rPr>
                <w:rFonts w:ascii="Arial" w:hAnsi="Arial" w:cs="Arial"/>
              </w:rPr>
            </w:pPr>
            <w:r>
              <w:rPr>
                <w:rFonts w:ascii="Arial" w:hAnsi="Arial" w:cs="Arial"/>
              </w:rPr>
              <w:t>Reviewed – Tom Dower Oct 25</w:t>
            </w:r>
          </w:p>
        </w:tc>
      </w:tr>
      <w:tr w:rsidR="0003067E" w:rsidRPr="002B5C60" w:rsidTr="00973343">
        <w:trPr>
          <w:trHeight w:val="737"/>
        </w:trPr>
        <w:tc>
          <w:tcPr>
            <w:tcW w:w="4621" w:type="dxa"/>
            <w:shd w:val="clear" w:color="auto" w:fill="auto"/>
            <w:hideMark/>
          </w:tcPr>
          <w:p w:rsidR="0003067E" w:rsidRPr="00973343" w:rsidRDefault="0003067E" w:rsidP="00973343">
            <w:pPr>
              <w:spacing w:before="240" w:after="240"/>
              <w:rPr>
                <w:rFonts w:ascii="Arial" w:eastAsia="Verdana" w:hAnsi="Arial" w:cs="Arial"/>
                <w:b/>
                <w:bCs/>
              </w:rPr>
            </w:pPr>
            <w:r w:rsidRPr="00973343">
              <w:rPr>
                <w:rFonts w:ascii="Arial" w:eastAsia="Verdana" w:hAnsi="Arial" w:cs="Arial"/>
                <w:b/>
                <w:bCs/>
              </w:rPr>
              <w:t>Res</w:t>
            </w:r>
            <w:r w:rsidRPr="00973343">
              <w:rPr>
                <w:rFonts w:ascii="Arial" w:eastAsia="Verdana" w:hAnsi="Arial" w:cs="Arial"/>
                <w:b/>
                <w:bCs/>
                <w:spacing w:val="-1"/>
              </w:rPr>
              <w:t>p</w:t>
            </w:r>
            <w:r w:rsidRPr="00973343">
              <w:rPr>
                <w:rFonts w:ascii="Arial" w:eastAsia="Verdana" w:hAnsi="Arial" w:cs="Arial"/>
                <w:b/>
                <w:bCs/>
                <w:spacing w:val="2"/>
              </w:rPr>
              <w:t>o</w:t>
            </w:r>
            <w:r w:rsidRPr="00973343">
              <w:rPr>
                <w:rFonts w:ascii="Arial" w:eastAsia="Verdana" w:hAnsi="Arial" w:cs="Arial"/>
                <w:b/>
                <w:bCs/>
              </w:rPr>
              <w:t>n</w:t>
            </w:r>
            <w:r w:rsidRPr="00973343">
              <w:rPr>
                <w:rFonts w:ascii="Arial" w:eastAsia="Verdana" w:hAnsi="Arial" w:cs="Arial"/>
                <w:b/>
                <w:bCs/>
                <w:spacing w:val="1"/>
              </w:rPr>
              <w:t>s</w:t>
            </w:r>
            <w:r w:rsidRPr="00973343">
              <w:rPr>
                <w:rFonts w:ascii="Arial" w:eastAsia="Verdana" w:hAnsi="Arial" w:cs="Arial"/>
                <w:b/>
                <w:bCs/>
                <w:spacing w:val="-1"/>
              </w:rPr>
              <w:t>i</w:t>
            </w:r>
            <w:r w:rsidRPr="00973343">
              <w:rPr>
                <w:rFonts w:ascii="Arial" w:eastAsia="Verdana" w:hAnsi="Arial" w:cs="Arial"/>
                <w:b/>
                <w:bCs/>
                <w:spacing w:val="2"/>
              </w:rPr>
              <w:t>b</w:t>
            </w:r>
            <w:r w:rsidRPr="00973343">
              <w:rPr>
                <w:rFonts w:ascii="Arial" w:eastAsia="Verdana" w:hAnsi="Arial" w:cs="Arial"/>
                <w:b/>
                <w:bCs/>
                <w:spacing w:val="-1"/>
              </w:rPr>
              <w:t>ili</w:t>
            </w:r>
            <w:r w:rsidRPr="00973343">
              <w:rPr>
                <w:rFonts w:ascii="Arial" w:eastAsia="Verdana" w:hAnsi="Arial" w:cs="Arial"/>
                <w:b/>
                <w:bCs/>
                <w:spacing w:val="2"/>
              </w:rPr>
              <w:t>t</w:t>
            </w:r>
            <w:r w:rsidRPr="00973343">
              <w:rPr>
                <w:rFonts w:ascii="Arial" w:eastAsia="Verdana" w:hAnsi="Arial" w:cs="Arial"/>
                <w:b/>
                <w:bCs/>
              </w:rPr>
              <w:t>y</w:t>
            </w:r>
          </w:p>
        </w:tc>
        <w:tc>
          <w:tcPr>
            <w:tcW w:w="4621" w:type="dxa"/>
            <w:shd w:val="clear" w:color="auto" w:fill="auto"/>
            <w:hideMark/>
          </w:tcPr>
          <w:p w:rsidR="0003067E" w:rsidRPr="00973343" w:rsidRDefault="0003067E" w:rsidP="00973343">
            <w:pPr>
              <w:spacing w:before="240" w:after="240"/>
              <w:rPr>
                <w:rFonts w:ascii="Arial" w:hAnsi="Arial" w:cs="Arial"/>
              </w:rPr>
            </w:pPr>
            <w:r w:rsidRPr="00973343">
              <w:rPr>
                <w:rFonts w:ascii="Arial" w:hAnsi="Arial" w:cs="Arial"/>
              </w:rPr>
              <w:t>Principal</w:t>
            </w:r>
          </w:p>
        </w:tc>
      </w:tr>
    </w:tbl>
    <w:p w:rsidR="000E4104" w:rsidRPr="00FC6199" w:rsidRDefault="0003067E" w:rsidP="0003067E">
      <w:pPr>
        <w:rPr>
          <w:rFonts w:ascii="Arial" w:hAnsi="Arial" w:cs="Arial"/>
          <w:b/>
        </w:rPr>
      </w:pPr>
      <w:r>
        <w:rPr>
          <w:rFonts w:ascii="Arial" w:eastAsia="Cambria" w:hAnsi="Arial" w:cs="Arial"/>
          <w:b/>
          <w:color w:val="000000"/>
          <w:sz w:val="24"/>
          <w:szCs w:val="24"/>
          <w:lang w:val="en-US"/>
        </w:rPr>
        <w:br w:type="page"/>
      </w:r>
    </w:p>
    <w:p w:rsidR="00C164F2" w:rsidRPr="00FC6199" w:rsidRDefault="00C164F2" w:rsidP="00C75C1A">
      <w:pPr>
        <w:spacing w:after="0" w:line="264" w:lineRule="auto"/>
        <w:rPr>
          <w:rFonts w:ascii="Arial" w:hAnsi="Arial" w:cs="Arial"/>
          <w:b/>
        </w:rPr>
      </w:pPr>
      <w:r w:rsidRPr="00FC6199">
        <w:rPr>
          <w:rFonts w:ascii="Arial" w:hAnsi="Arial" w:cs="Arial"/>
          <w:b/>
        </w:rPr>
        <w:lastRenderedPageBreak/>
        <w:t>Introduction</w:t>
      </w:r>
    </w:p>
    <w:p w:rsidR="00292411" w:rsidRPr="00FC6199" w:rsidRDefault="00292411" w:rsidP="00C75C1A">
      <w:pPr>
        <w:spacing w:after="0" w:line="264" w:lineRule="auto"/>
        <w:ind w:left="357"/>
        <w:rPr>
          <w:rFonts w:ascii="Arial" w:hAnsi="Arial" w:cs="Arial"/>
          <w:b/>
        </w:rPr>
      </w:pPr>
    </w:p>
    <w:p w:rsidR="00C164F2" w:rsidRPr="00C75C1A" w:rsidRDefault="00C164F2"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This policy applies to all employees</w:t>
      </w:r>
      <w:r w:rsidR="007618C8" w:rsidRPr="00C75C1A">
        <w:rPr>
          <w:rFonts w:ascii="Arial" w:hAnsi="Arial" w:cs="Arial"/>
          <w:lang w:eastAsia="en-GB"/>
        </w:rPr>
        <w:t xml:space="preserve"> (which throughout this policy includes </w:t>
      </w:r>
      <w:r w:rsidR="00664A05">
        <w:rPr>
          <w:rFonts w:ascii="Arial" w:hAnsi="Arial" w:cs="Arial"/>
          <w:lang w:eastAsia="en-GB"/>
        </w:rPr>
        <w:t>employed staff, temporary workers</w:t>
      </w:r>
      <w:r w:rsidR="00565771" w:rsidRPr="00C75C1A">
        <w:rPr>
          <w:rFonts w:ascii="Arial" w:hAnsi="Arial" w:cs="Arial"/>
          <w:lang w:eastAsia="en-GB"/>
        </w:rPr>
        <w:t xml:space="preserve"> and volunteers</w:t>
      </w:r>
      <w:r w:rsidR="007618C8" w:rsidRPr="00C75C1A">
        <w:rPr>
          <w:rFonts w:ascii="Arial" w:hAnsi="Arial" w:cs="Arial"/>
          <w:lang w:eastAsia="en-GB"/>
        </w:rPr>
        <w:t>)</w:t>
      </w:r>
      <w:r w:rsidRPr="00C75C1A">
        <w:rPr>
          <w:rFonts w:ascii="Arial" w:hAnsi="Arial" w:cs="Arial"/>
          <w:lang w:eastAsia="en-GB"/>
        </w:rPr>
        <w:t xml:space="preserve"> and </w:t>
      </w:r>
      <w:r w:rsidR="00FC6199" w:rsidRPr="00C75C1A">
        <w:rPr>
          <w:rFonts w:ascii="Arial" w:hAnsi="Arial" w:cs="Arial"/>
          <w:lang w:eastAsia="en-GB"/>
        </w:rPr>
        <w:t>Trustee</w:t>
      </w:r>
      <w:r w:rsidR="008E4A8C" w:rsidRPr="00C75C1A">
        <w:rPr>
          <w:rFonts w:ascii="Arial" w:hAnsi="Arial" w:cs="Arial"/>
          <w:lang w:eastAsia="en-GB"/>
        </w:rPr>
        <w:t xml:space="preserve">s.  It is publicly available on the UTC website so that others connected to the UTC can use it if they have concerns. </w:t>
      </w:r>
    </w:p>
    <w:p w:rsidR="00C164F2" w:rsidRPr="00FC6199" w:rsidRDefault="00C164F2" w:rsidP="00C75C1A">
      <w:pPr>
        <w:spacing w:after="0" w:line="264" w:lineRule="auto"/>
        <w:rPr>
          <w:rFonts w:ascii="Arial" w:hAnsi="Arial" w:cs="Arial"/>
          <w:lang w:eastAsia="en-GB"/>
        </w:rPr>
      </w:pPr>
    </w:p>
    <w:p w:rsidR="00C164F2" w:rsidRPr="00C75C1A" w:rsidRDefault="00FC1DB1"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 xml:space="preserve">It is important to the </w:t>
      </w:r>
      <w:r w:rsidR="00FC6199" w:rsidRPr="00C75C1A">
        <w:rPr>
          <w:rFonts w:ascii="Arial" w:hAnsi="Arial" w:cs="Arial"/>
          <w:lang w:eastAsia="en-GB"/>
        </w:rPr>
        <w:t>UTC</w:t>
      </w:r>
      <w:r w:rsidR="00C164F2" w:rsidRPr="00C75C1A">
        <w:rPr>
          <w:rFonts w:ascii="Arial" w:hAnsi="Arial" w:cs="Arial"/>
          <w:lang w:eastAsia="en-GB"/>
        </w:rPr>
        <w:t xml:space="preserve"> that any fraud, misconduc</w:t>
      </w:r>
      <w:r w:rsidR="007C2877" w:rsidRPr="00C75C1A">
        <w:rPr>
          <w:rFonts w:ascii="Arial" w:hAnsi="Arial" w:cs="Arial"/>
          <w:lang w:eastAsia="en-GB"/>
        </w:rPr>
        <w:t xml:space="preserve">t or wrongdoing by employees or </w:t>
      </w:r>
      <w:r w:rsidR="00FC6199" w:rsidRPr="00C75C1A">
        <w:rPr>
          <w:rFonts w:ascii="Arial" w:hAnsi="Arial" w:cs="Arial"/>
          <w:lang w:eastAsia="en-GB"/>
        </w:rPr>
        <w:t>Trustee</w:t>
      </w:r>
      <w:r w:rsidR="00C164F2" w:rsidRPr="00C75C1A">
        <w:rPr>
          <w:rFonts w:ascii="Arial" w:hAnsi="Arial" w:cs="Arial"/>
          <w:lang w:eastAsia="en-GB"/>
        </w:rPr>
        <w:t>s of th</w:t>
      </w:r>
      <w:r w:rsidR="00E64702" w:rsidRPr="00C75C1A">
        <w:rPr>
          <w:rFonts w:ascii="Arial" w:hAnsi="Arial" w:cs="Arial"/>
          <w:lang w:eastAsia="en-GB"/>
        </w:rPr>
        <w:t>e</w:t>
      </w:r>
      <w:r w:rsidR="00C75C1A" w:rsidRPr="00C75C1A">
        <w:rPr>
          <w:rFonts w:ascii="Arial" w:hAnsi="Arial" w:cs="Arial"/>
          <w:lang w:eastAsia="en-GB"/>
        </w:rPr>
        <w:t xml:space="preserve"> </w:t>
      </w:r>
      <w:r w:rsidR="00FC6199" w:rsidRPr="00C75C1A">
        <w:rPr>
          <w:rFonts w:ascii="Arial" w:hAnsi="Arial" w:cs="Arial"/>
          <w:lang w:eastAsia="en-GB"/>
        </w:rPr>
        <w:t>UTC</w:t>
      </w:r>
      <w:r w:rsidR="00C164F2" w:rsidRPr="00C75C1A">
        <w:rPr>
          <w:rFonts w:ascii="Arial" w:hAnsi="Arial" w:cs="Arial"/>
          <w:lang w:eastAsia="en-GB"/>
        </w:rPr>
        <w:t xml:space="preserve"> is reported and properly dealt with. </w:t>
      </w:r>
      <w:r w:rsidR="00AF3FD2" w:rsidRPr="00C75C1A">
        <w:rPr>
          <w:rFonts w:ascii="Arial" w:hAnsi="Arial" w:cs="Arial"/>
          <w:lang w:eastAsia="en-GB"/>
        </w:rPr>
        <w:t>Trustees will therefore</w:t>
      </w:r>
      <w:r w:rsidR="00C164F2" w:rsidRPr="00C75C1A">
        <w:rPr>
          <w:rFonts w:ascii="Arial" w:hAnsi="Arial" w:cs="Arial"/>
          <w:lang w:eastAsia="en-GB"/>
        </w:rPr>
        <w:t xml:space="preserve"> respond to all individuals who raise any genuine concerns that they may have abou</w:t>
      </w:r>
      <w:r w:rsidR="00E64702" w:rsidRPr="00C75C1A">
        <w:rPr>
          <w:rFonts w:ascii="Arial" w:hAnsi="Arial" w:cs="Arial"/>
          <w:lang w:eastAsia="en-GB"/>
        </w:rPr>
        <w:t xml:space="preserve">t the conduct of others in the </w:t>
      </w:r>
      <w:r w:rsidR="00AF3FD2" w:rsidRPr="00C75C1A">
        <w:rPr>
          <w:rFonts w:ascii="Arial" w:hAnsi="Arial" w:cs="Arial"/>
          <w:lang w:eastAsia="en-GB"/>
        </w:rPr>
        <w:t>UTC which may breach this policy</w:t>
      </w:r>
      <w:r w:rsidR="00C164F2" w:rsidRPr="00C75C1A">
        <w:rPr>
          <w:rFonts w:ascii="Arial" w:hAnsi="Arial" w:cs="Arial"/>
          <w:lang w:eastAsia="en-GB"/>
        </w:rPr>
        <w:t>. This policy</w:t>
      </w:r>
      <w:r w:rsidR="007618C8" w:rsidRPr="00C75C1A">
        <w:rPr>
          <w:rFonts w:ascii="Arial" w:hAnsi="Arial" w:cs="Arial"/>
          <w:lang w:eastAsia="en-GB"/>
        </w:rPr>
        <w:t xml:space="preserve"> </w:t>
      </w:r>
      <w:r w:rsidR="00C164F2" w:rsidRPr="00C75C1A">
        <w:rPr>
          <w:rFonts w:ascii="Arial" w:hAnsi="Arial" w:cs="Arial"/>
          <w:lang w:eastAsia="en-GB"/>
        </w:rPr>
        <w:t>sets out the way in which individuals may raise any concerns that they have and how those concerns will be dealt with.</w:t>
      </w:r>
      <w:r w:rsidR="002C00A8" w:rsidRPr="00C75C1A">
        <w:rPr>
          <w:rFonts w:ascii="Arial" w:hAnsi="Arial" w:cs="Arial"/>
          <w:lang w:eastAsia="en-GB"/>
        </w:rPr>
        <w:t xml:space="preserve">  </w:t>
      </w:r>
      <w:r w:rsidR="00AF3FD2" w:rsidRPr="00C75C1A">
        <w:rPr>
          <w:rFonts w:ascii="Arial" w:hAnsi="Arial" w:cs="Arial"/>
        </w:rPr>
        <w:t>T</w:t>
      </w:r>
      <w:r w:rsidRPr="00C75C1A">
        <w:rPr>
          <w:rFonts w:ascii="Arial" w:hAnsi="Arial" w:cs="Arial"/>
        </w:rPr>
        <w:t xml:space="preserve">he </w:t>
      </w:r>
      <w:r w:rsidR="00FC6199" w:rsidRPr="00C75C1A">
        <w:rPr>
          <w:rFonts w:ascii="Arial" w:hAnsi="Arial" w:cs="Arial"/>
        </w:rPr>
        <w:t>UTC</w:t>
      </w:r>
      <w:r w:rsidR="00C164F2" w:rsidRPr="00C75C1A">
        <w:rPr>
          <w:rFonts w:ascii="Arial" w:hAnsi="Arial" w:cs="Arial"/>
        </w:rPr>
        <w:t xml:space="preserve"> expects the highest standards of conduct from all employees and </w:t>
      </w:r>
      <w:r w:rsidR="00FC6199" w:rsidRPr="00C75C1A">
        <w:rPr>
          <w:rFonts w:ascii="Arial" w:hAnsi="Arial" w:cs="Arial"/>
        </w:rPr>
        <w:t>Trustee</w:t>
      </w:r>
      <w:r w:rsidR="00C164F2" w:rsidRPr="00C75C1A">
        <w:rPr>
          <w:rFonts w:ascii="Arial" w:hAnsi="Arial" w:cs="Arial"/>
        </w:rPr>
        <w:t>s</w:t>
      </w:r>
      <w:r w:rsidR="00C164F2" w:rsidRPr="00C75C1A">
        <w:rPr>
          <w:rFonts w:ascii="Arial" w:hAnsi="Arial" w:cs="Arial"/>
          <w:lang w:eastAsia="en-GB"/>
        </w:rPr>
        <w:t xml:space="preserve"> and will treat seriously any concern raised about illeg</w:t>
      </w:r>
      <w:r w:rsidRPr="00C75C1A">
        <w:rPr>
          <w:rFonts w:ascii="Arial" w:hAnsi="Arial" w:cs="Arial"/>
          <w:lang w:eastAsia="en-GB"/>
        </w:rPr>
        <w:t>al or improper conduct</w:t>
      </w:r>
    </w:p>
    <w:p w:rsidR="00C164F2" w:rsidRPr="00FC6199" w:rsidRDefault="00C164F2" w:rsidP="00C75C1A">
      <w:pPr>
        <w:spacing w:after="0" w:line="264" w:lineRule="auto"/>
        <w:rPr>
          <w:rFonts w:ascii="Arial" w:hAnsi="Arial" w:cs="Arial"/>
          <w:lang w:eastAsia="en-GB"/>
        </w:rPr>
      </w:pPr>
    </w:p>
    <w:p w:rsidR="00C164F2"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A</w:t>
      </w:r>
      <w:r w:rsidR="00C164F2" w:rsidRPr="00664A05">
        <w:rPr>
          <w:rFonts w:ascii="Arial" w:hAnsi="Arial" w:cs="Arial"/>
          <w:lang w:eastAsia="en-GB"/>
        </w:rPr>
        <w:t>ny individual covered by this policy will be expected, through agreed procedures and without fear of recrimination, to</w:t>
      </w:r>
      <w:r w:rsidR="00460A25" w:rsidRPr="00664A05">
        <w:rPr>
          <w:rFonts w:ascii="Arial" w:hAnsi="Arial" w:cs="Arial"/>
          <w:lang w:eastAsia="en-GB"/>
        </w:rPr>
        <w:t xml:space="preserve"> bring to the attention of the </w:t>
      </w:r>
      <w:r w:rsidR="00FC6199" w:rsidRPr="00664A05">
        <w:rPr>
          <w:rFonts w:ascii="Arial" w:hAnsi="Arial" w:cs="Arial"/>
          <w:lang w:eastAsia="en-GB"/>
        </w:rPr>
        <w:t>Principal</w:t>
      </w:r>
      <w:r w:rsidR="0092324A" w:rsidRPr="00664A05">
        <w:rPr>
          <w:rFonts w:ascii="Arial" w:hAnsi="Arial" w:cs="Arial"/>
          <w:lang w:eastAsia="en-GB"/>
        </w:rPr>
        <w:t xml:space="preserve"> (or the C</w:t>
      </w:r>
      <w:r w:rsidR="00460A25" w:rsidRPr="00664A05">
        <w:rPr>
          <w:rFonts w:ascii="Arial" w:hAnsi="Arial" w:cs="Arial"/>
          <w:lang w:eastAsia="en-GB"/>
        </w:rPr>
        <w:t xml:space="preserve">hair of </w:t>
      </w:r>
      <w:r w:rsidR="00FC6199" w:rsidRPr="00664A05">
        <w:rPr>
          <w:rFonts w:ascii="Arial" w:hAnsi="Arial" w:cs="Arial"/>
          <w:lang w:eastAsia="en-GB"/>
        </w:rPr>
        <w:t>Trustee</w:t>
      </w:r>
      <w:r w:rsidR="00C164F2" w:rsidRPr="00664A05">
        <w:rPr>
          <w:rFonts w:ascii="Arial" w:hAnsi="Arial" w:cs="Arial"/>
          <w:lang w:eastAsia="en-GB"/>
        </w:rPr>
        <w:t>s</w:t>
      </w:r>
      <w:r w:rsidR="00460A25" w:rsidRPr="00664A05">
        <w:rPr>
          <w:rFonts w:ascii="Arial" w:hAnsi="Arial" w:cs="Arial"/>
          <w:lang w:eastAsia="en-GB"/>
        </w:rPr>
        <w:t xml:space="preserve"> if the concerns relate to the </w:t>
      </w:r>
      <w:r w:rsidR="00FC6199" w:rsidRPr="00664A05">
        <w:rPr>
          <w:rFonts w:ascii="Arial" w:hAnsi="Arial" w:cs="Arial"/>
          <w:lang w:eastAsia="en-GB"/>
        </w:rPr>
        <w:t>Principal</w:t>
      </w:r>
      <w:r w:rsidR="00C164F2" w:rsidRPr="00664A05">
        <w:rPr>
          <w:rFonts w:ascii="Arial" w:hAnsi="Arial" w:cs="Arial"/>
          <w:lang w:eastAsia="en-GB"/>
        </w:rPr>
        <w:t>) any serious impr</w:t>
      </w:r>
      <w:r w:rsidRPr="00664A05">
        <w:rPr>
          <w:rFonts w:ascii="Arial" w:hAnsi="Arial" w:cs="Arial"/>
          <w:lang w:eastAsia="en-GB"/>
        </w:rPr>
        <w:t>opriety or breach of procedure</w:t>
      </w:r>
    </w:p>
    <w:p w:rsidR="00C164F2" w:rsidRPr="00664A05" w:rsidRDefault="00C164F2" w:rsidP="00C75C1A">
      <w:pPr>
        <w:spacing w:after="0" w:line="264" w:lineRule="auto"/>
        <w:rPr>
          <w:rFonts w:ascii="Arial" w:hAnsi="Arial" w:cs="Arial"/>
          <w:lang w:eastAsia="en-GB"/>
        </w:rPr>
      </w:pPr>
    </w:p>
    <w:p w:rsidR="00C164F2"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E</w:t>
      </w:r>
      <w:r w:rsidR="00C164F2" w:rsidRPr="00664A05">
        <w:rPr>
          <w:rFonts w:ascii="Arial" w:hAnsi="Arial" w:cs="Arial"/>
          <w:lang w:eastAsia="en-GB"/>
        </w:rPr>
        <w:t>mployees who do not follow the steps identified in this procedure or other agreed internal procedures, and take their concerns to other outside sources (e.g. the press), may be subject to a formal</w:t>
      </w:r>
      <w:r w:rsidR="00FC1DB1" w:rsidRPr="00664A05">
        <w:rPr>
          <w:rFonts w:ascii="Arial" w:hAnsi="Arial" w:cs="Arial"/>
          <w:lang w:eastAsia="en-GB"/>
        </w:rPr>
        <w:t xml:space="preserve"> disciplinary investigation</w:t>
      </w:r>
    </w:p>
    <w:p w:rsidR="00C164F2" w:rsidRPr="00664A05" w:rsidRDefault="00C164F2" w:rsidP="00C75C1A">
      <w:pPr>
        <w:spacing w:after="0" w:line="264" w:lineRule="auto"/>
        <w:rPr>
          <w:rFonts w:ascii="Arial" w:hAnsi="Arial" w:cs="Arial"/>
          <w:lang w:eastAsia="en-GB"/>
        </w:rPr>
      </w:pPr>
    </w:p>
    <w:p w:rsidR="00C164F2"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T</w:t>
      </w:r>
      <w:r w:rsidR="00C164F2" w:rsidRPr="00664A05">
        <w:rPr>
          <w:rFonts w:ascii="Arial" w:hAnsi="Arial" w:cs="Arial"/>
          <w:lang w:eastAsia="en-GB"/>
        </w:rPr>
        <w:t>his policy does not form part of any employee’s contract of employment and it m</w:t>
      </w:r>
      <w:r w:rsidR="00FC1DB1" w:rsidRPr="00664A05">
        <w:rPr>
          <w:rFonts w:ascii="Arial" w:hAnsi="Arial" w:cs="Arial"/>
          <w:lang w:eastAsia="en-GB"/>
        </w:rPr>
        <w:t xml:space="preserve">ay be amended at any time. The </w:t>
      </w:r>
      <w:r w:rsidR="00FC6199" w:rsidRPr="00664A05">
        <w:rPr>
          <w:rFonts w:ascii="Arial" w:hAnsi="Arial" w:cs="Arial"/>
          <w:lang w:eastAsia="en-GB"/>
        </w:rPr>
        <w:t>UTC</w:t>
      </w:r>
      <w:r w:rsidR="00C164F2" w:rsidRPr="00664A05">
        <w:rPr>
          <w:rFonts w:ascii="Arial" w:hAnsi="Arial" w:cs="Arial"/>
          <w:lang w:eastAsia="en-GB"/>
        </w:rPr>
        <w:t xml:space="preserve"> may also vary any time lim</w:t>
      </w:r>
      <w:r w:rsidR="00FC1DB1" w:rsidRPr="00664A05">
        <w:rPr>
          <w:rFonts w:ascii="Arial" w:hAnsi="Arial" w:cs="Arial"/>
          <w:lang w:eastAsia="en-GB"/>
        </w:rPr>
        <w:t>its as appropriate in any case</w:t>
      </w:r>
    </w:p>
    <w:p w:rsidR="00C164F2" w:rsidRPr="00664A05" w:rsidRDefault="00C164F2" w:rsidP="00C75C1A">
      <w:pPr>
        <w:spacing w:after="0" w:line="264" w:lineRule="auto"/>
        <w:rPr>
          <w:rFonts w:ascii="Arial" w:hAnsi="Arial" w:cs="Arial"/>
          <w:lang w:eastAsia="en-GB"/>
        </w:rPr>
      </w:pPr>
    </w:p>
    <w:p w:rsidR="00C164F2" w:rsidRPr="00664A05" w:rsidRDefault="00C164F2" w:rsidP="00C75C1A">
      <w:pPr>
        <w:spacing w:after="0" w:line="264" w:lineRule="auto"/>
        <w:rPr>
          <w:rFonts w:ascii="Arial" w:hAnsi="Arial" w:cs="Arial"/>
          <w:b/>
        </w:rPr>
      </w:pPr>
      <w:r w:rsidRPr="00664A05">
        <w:rPr>
          <w:rFonts w:ascii="Arial" w:hAnsi="Arial" w:cs="Arial"/>
          <w:b/>
        </w:rPr>
        <w:t>Background</w:t>
      </w:r>
    </w:p>
    <w:p w:rsidR="00292411" w:rsidRPr="00664A05" w:rsidRDefault="00292411" w:rsidP="00C75C1A">
      <w:pPr>
        <w:spacing w:after="0" w:line="264" w:lineRule="auto"/>
        <w:ind w:left="357"/>
        <w:rPr>
          <w:rFonts w:ascii="Arial" w:hAnsi="Arial" w:cs="Arial"/>
          <w:b/>
        </w:rPr>
      </w:pPr>
    </w:p>
    <w:p w:rsidR="00C164F2" w:rsidRPr="00664A05" w:rsidRDefault="00C164F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 xml:space="preserve">The law provides protection for employees who raise legitimate concerns about specified matters. These are called ‘qualifying </w:t>
      </w:r>
      <w:proofErr w:type="gramStart"/>
      <w:r w:rsidRPr="00664A05">
        <w:rPr>
          <w:rFonts w:ascii="Arial" w:hAnsi="Arial" w:cs="Arial"/>
          <w:lang w:eastAsia="en-GB"/>
        </w:rPr>
        <w:t>disclosures’</w:t>
      </w:r>
      <w:proofErr w:type="gramEnd"/>
      <w:r w:rsidR="00FC1DB1" w:rsidRPr="00664A05">
        <w:rPr>
          <w:rFonts w:ascii="Arial" w:hAnsi="Arial" w:cs="Arial"/>
          <w:lang w:eastAsia="en-GB"/>
        </w:rPr>
        <w:t>.</w:t>
      </w:r>
      <w:r w:rsidRPr="00664A05">
        <w:rPr>
          <w:rFonts w:ascii="Arial" w:hAnsi="Arial" w:cs="Arial"/>
          <w:lang w:eastAsia="en-GB"/>
        </w:rPr>
        <w:t xml:space="preserve"> A qualifying disclosure is one made in the public interest by the employee who has a reasonable belief that</w:t>
      </w:r>
      <w:r w:rsidR="00664A05" w:rsidRPr="00664A05">
        <w:rPr>
          <w:rFonts w:ascii="Arial" w:hAnsi="Arial" w:cs="Arial"/>
          <w:lang w:eastAsia="en-GB"/>
        </w:rPr>
        <w:t xml:space="preserve"> one of the following has taken place</w:t>
      </w:r>
      <w:r w:rsidRPr="00664A05">
        <w:rPr>
          <w:rFonts w:ascii="Arial" w:hAnsi="Arial" w:cs="Arial"/>
          <w:lang w:eastAsia="en-GB"/>
        </w:rPr>
        <w:t>:</w:t>
      </w:r>
    </w:p>
    <w:p w:rsidR="00C164F2" w:rsidRPr="00664A05" w:rsidRDefault="00C164F2" w:rsidP="00C41380">
      <w:pPr>
        <w:spacing w:after="0" w:line="264" w:lineRule="auto"/>
        <w:rPr>
          <w:rFonts w:ascii="Arial" w:hAnsi="Arial" w:cs="Arial"/>
          <w:lang w:eastAsia="en-GB"/>
        </w:rPr>
      </w:pP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Criminal activity.</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Miscarriages of Justice.</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Danger to health and safety.</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Damage to the environment.</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Failure to comply with any legal or professional obligation or regulatory requirements.</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Bribery</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Financial fraud or mismanagement</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Negligence</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Breach of our internal policies and procedures including our Staff Code of Conduct</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Conduct likely to damage our reputation or financial wellbeing</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Unauthorised disclosure of confidential information.</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Unethical behaviour</w:t>
      </w:r>
    </w:p>
    <w:p w:rsidR="00D5500A" w:rsidRPr="00664A05" w:rsidRDefault="00D5500A" w:rsidP="00D5500A">
      <w:pPr>
        <w:numPr>
          <w:ilvl w:val="0"/>
          <w:numId w:val="23"/>
        </w:numPr>
        <w:spacing w:after="0" w:line="264" w:lineRule="auto"/>
        <w:rPr>
          <w:rFonts w:ascii="Arial" w:hAnsi="Arial" w:cs="Arial"/>
          <w:lang w:eastAsia="en-GB"/>
        </w:rPr>
      </w:pPr>
      <w:r w:rsidRPr="00664A05">
        <w:rPr>
          <w:rFonts w:ascii="Arial" w:hAnsi="Arial" w:cs="Arial"/>
          <w:lang w:eastAsia="en-GB"/>
        </w:rPr>
        <w:t>The deliberate concealment of any of the above matters.</w:t>
      </w:r>
    </w:p>
    <w:p w:rsidR="00C164F2" w:rsidRPr="00664A05" w:rsidRDefault="00C164F2" w:rsidP="00D5500A">
      <w:pPr>
        <w:spacing w:after="0" w:line="264" w:lineRule="auto"/>
        <w:rPr>
          <w:rFonts w:ascii="Arial" w:hAnsi="Arial" w:cs="Arial"/>
          <w:lang w:eastAsia="en-GB"/>
        </w:rPr>
      </w:pPr>
    </w:p>
    <w:p w:rsidR="00C164F2" w:rsidRPr="00664A05" w:rsidRDefault="00C164F2" w:rsidP="00C41380">
      <w:pPr>
        <w:spacing w:after="0" w:line="264" w:lineRule="auto"/>
        <w:rPr>
          <w:rFonts w:ascii="Arial" w:hAnsi="Arial" w:cs="Arial"/>
          <w:b/>
          <w:lang w:eastAsia="en-GB"/>
        </w:rPr>
      </w:pPr>
    </w:p>
    <w:p w:rsidR="00292411" w:rsidRPr="00664A05" w:rsidRDefault="00C164F2" w:rsidP="00C75C1A">
      <w:pPr>
        <w:spacing w:after="0" w:line="264" w:lineRule="auto"/>
        <w:rPr>
          <w:rFonts w:ascii="Arial" w:hAnsi="Arial" w:cs="Arial"/>
          <w:b/>
        </w:rPr>
      </w:pPr>
      <w:r w:rsidRPr="00664A05">
        <w:rPr>
          <w:rFonts w:ascii="Arial" w:hAnsi="Arial" w:cs="Arial"/>
          <w:b/>
        </w:rPr>
        <w:t>When should it be used?</w:t>
      </w:r>
    </w:p>
    <w:p w:rsidR="00C164F2" w:rsidRPr="00664A05" w:rsidRDefault="00C164F2" w:rsidP="00C41380">
      <w:pPr>
        <w:spacing w:after="0" w:line="264" w:lineRule="auto"/>
        <w:rPr>
          <w:rFonts w:ascii="Arial" w:hAnsi="Arial" w:cs="Arial"/>
          <w:lang w:eastAsia="en-GB"/>
        </w:rPr>
      </w:pPr>
      <w:r w:rsidRPr="00664A05">
        <w:rPr>
          <w:rFonts w:ascii="Arial" w:hAnsi="Arial" w:cs="Arial"/>
          <w:lang w:eastAsia="en-GB"/>
        </w:rPr>
        <w:tab/>
      </w:r>
    </w:p>
    <w:p w:rsidR="00D5500A" w:rsidRPr="00664A05" w:rsidRDefault="00D5500A"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 xml:space="preserve">A whistle-blower is a person who raises a genuine concern relating to any of the above.  It is not necessary for the employee to have proof that such an act is being, has been, or is likely to be </w:t>
      </w:r>
      <w:r w:rsidRPr="00664A05">
        <w:rPr>
          <w:rFonts w:ascii="Arial" w:hAnsi="Arial" w:cs="Arial"/>
          <w:lang w:eastAsia="en-GB"/>
        </w:rPr>
        <w:lastRenderedPageBreak/>
        <w:t>committed - a reasonable belief is sufficient. The employee has no responsibility for investigating the matter; it is the UTC’s responsibility to ensure that an investigation takes place:</w:t>
      </w:r>
    </w:p>
    <w:p w:rsidR="00C164F2" w:rsidRPr="00664A05" w:rsidRDefault="00C164F2" w:rsidP="00664A05">
      <w:pPr>
        <w:spacing w:after="0" w:line="264" w:lineRule="auto"/>
        <w:rPr>
          <w:rFonts w:ascii="Arial" w:hAnsi="Arial" w:cs="Arial"/>
          <w:lang w:eastAsia="en-GB"/>
        </w:rPr>
      </w:pPr>
    </w:p>
    <w:p w:rsidR="00C164F2"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E</w:t>
      </w:r>
      <w:r w:rsidR="00C164F2" w:rsidRPr="00664A05">
        <w:rPr>
          <w:rFonts w:ascii="Arial" w:hAnsi="Arial" w:cs="Arial"/>
          <w:lang w:eastAsia="en-GB"/>
        </w:rPr>
        <w:t>mployees must have reasonable grounds for believing the information they have is accurate an</w:t>
      </w:r>
      <w:r w:rsidR="00E64702" w:rsidRPr="00664A05">
        <w:rPr>
          <w:rFonts w:ascii="Arial" w:hAnsi="Arial" w:cs="Arial"/>
          <w:lang w:eastAsia="en-GB"/>
        </w:rPr>
        <w:t>d not just idle gossip or rumour</w:t>
      </w:r>
      <w:r w:rsidR="007C66D9" w:rsidRPr="00664A05">
        <w:rPr>
          <w:rFonts w:ascii="Arial" w:hAnsi="Arial" w:cs="Arial"/>
          <w:lang w:eastAsia="en-GB"/>
        </w:rPr>
        <w:t>.</w:t>
      </w:r>
    </w:p>
    <w:p w:rsidR="00C164F2" w:rsidRPr="00664A05" w:rsidRDefault="00C164F2" w:rsidP="00C75C1A">
      <w:pPr>
        <w:spacing w:after="0" w:line="264" w:lineRule="auto"/>
        <w:rPr>
          <w:rFonts w:ascii="Arial" w:hAnsi="Arial" w:cs="Arial"/>
          <w:lang w:eastAsia="en-GB"/>
        </w:rPr>
      </w:pPr>
    </w:p>
    <w:p w:rsidR="00C164F2"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A</w:t>
      </w:r>
      <w:r w:rsidR="00C164F2" w:rsidRPr="00664A05">
        <w:rPr>
          <w:rFonts w:ascii="Arial" w:hAnsi="Arial" w:cs="Arial"/>
          <w:lang w:eastAsia="en-GB"/>
        </w:rPr>
        <w:t>n employee who makes such a protected disclosure has the right not to be subjected to detrimental treatment which includes, dismissal, disciplinary action, threats or other unfavourable treatment, because he/she has made a disclosure, provided it has not been made maliciously. An employee who uses this policy</w:t>
      </w:r>
      <w:r w:rsidR="007618C8" w:rsidRPr="00664A05">
        <w:rPr>
          <w:rFonts w:ascii="Arial" w:hAnsi="Arial" w:cs="Arial"/>
          <w:lang w:eastAsia="en-GB"/>
        </w:rPr>
        <w:t xml:space="preserve"> and procedure</w:t>
      </w:r>
      <w:r w:rsidR="00C164F2" w:rsidRPr="00664A05">
        <w:rPr>
          <w:rFonts w:ascii="Arial" w:hAnsi="Arial" w:cs="Arial"/>
          <w:lang w:eastAsia="en-GB"/>
        </w:rPr>
        <w:t xml:space="preserve"> will not be penalised for doing so. The employer will not tolerate harassment and/or victimisation of any employee </w:t>
      </w:r>
      <w:r w:rsidR="00E64702" w:rsidRPr="00664A05">
        <w:rPr>
          <w:rFonts w:ascii="Arial" w:hAnsi="Arial" w:cs="Arial"/>
          <w:lang w:eastAsia="en-GB"/>
        </w:rPr>
        <w:t>raising concerns</w:t>
      </w:r>
      <w:r w:rsidR="007C66D9" w:rsidRPr="00664A05">
        <w:rPr>
          <w:rFonts w:ascii="Arial" w:hAnsi="Arial" w:cs="Arial"/>
          <w:lang w:eastAsia="en-GB"/>
        </w:rPr>
        <w:t>.</w:t>
      </w:r>
    </w:p>
    <w:p w:rsidR="00C164F2" w:rsidRPr="00664A05" w:rsidRDefault="00C164F2" w:rsidP="00C75C1A">
      <w:pPr>
        <w:spacing w:after="0" w:line="264" w:lineRule="auto"/>
        <w:rPr>
          <w:rFonts w:ascii="Arial" w:hAnsi="Arial" w:cs="Arial"/>
          <w:lang w:eastAsia="en-GB"/>
        </w:rPr>
      </w:pPr>
    </w:p>
    <w:p w:rsidR="00C164F2"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An</w:t>
      </w:r>
      <w:r w:rsidR="00E64702" w:rsidRPr="00664A05">
        <w:rPr>
          <w:rFonts w:ascii="Arial" w:hAnsi="Arial" w:cs="Arial"/>
          <w:lang w:eastAsia="en-GB"/>
        </w:rPr>
        <w:t xml:space="preserve"> employee </w:t>
      </w:r>
      <w:r w:rsidR="00C164F2" w:rsidRPr="00664A05">
        <w:rPr>
          <w:rFonts w:ascii="Arial" w:hAnsi="Arial" w:cs="Arial"/>
          <w:lang w:eastAsia="en-GB"/>
        </w:rPr>
        <w:t xml:space="preserve">who is not sure whether the conduct he/she is concerned about does constitute illegal or improper conduct or is unsure about how to proceed may contact the </w:t>
      </w:r>
      <w:r w:rsidRPr="00664A05">
        <w:rPr>
          <w:rFonts w:ascii="Arial" w:hAnsi="Arial" w:cs="Arial"/>
          <w:lang w:eastAsia="en-GB"/>
        </w:rPr>
        <w:t xml:space="preserve">Principal, </w:t>
      </w:r>
      <w:r w:rsidR="00FC6199" w:rsidRPr="00664A05">
        <w:rPr>
          <w:rFonts w:ascii="Arial" w:hAnsi="Arial" w:cs="Arial"/>
          <w:lang w:eastAsia="en-GB"/>
        </w:rPr>
        <w:t>Chair of Trustees</w:t>
      </w:r>
      <w:r w:rsidRPr="00664A05">
        <w:rPr>
          <w:rFonts w:ascii="Arial" w:hAnsi="Arial" w:cs="Arial"/>
          <w:lang w:eastAsia="en-GB"/>
        </w:rPr>
        <w:t xml:space="preserve"> </w:t>
      </w:r>
      <w:r w:rsidR="00C164F2" w:rsidRPr="00664A05">
        <w:rPr>
          <w:rFonts w:ascii="Arial" w:hAnsi="Arial" w:cs="Arial"/>
          <w:lang w:eastAsia="en-GB"/>
        </w:rPr>
        <w:t xml:space="preserve">or </w:t>
      </w:r>
      <w:r w:rsidR="00E64702" w:rsidRPr="00664A05">
        <w:rPr>
          <w:rFonts w:ascii="Arial" w:hAnsi="Arial" w:cs="Arial"/>
          <w:lang w:eastAsia="en-GB"/>
        </w:rPr>
        <w:t>professional association</w:t>
      </w:r>
      <w:r w:rsidR="00F648F7" w:rsidRPr="00664A05">
        <w:rPr>
          <w:rFonts w:ascii="Arial" w:hAnsi="Arial" w:cs="Arial"/>
          <w:lang w:eastAsia="en-GB"/>
        </w:rPr>
        <w:t xml:space="preserve"> </w:t>
      </w:r>
      <w:r w:rsidR="00E64702" w:rsidRPr="00664A05">
        <w:rPr>
          <w:rFonts w:ascii="Arial" w:hAnsi="Arial" w:cs="Arial"/>
          <w:lang w:eastAsia="en-GB"/>
        </w:rPr>
        <w:t>/</w:t>
      </w:r>
      <w:r w:rsidR="00F648F7" w:rsidRPr="00664A05">
        <w:rPr>
          <w:rFonts w:ascii="Arial" w:hAnsi="Arial" w:cs="Arial"/>
          <w:lang w:eastAsia="en-GB"/>
        </w:rPr>
        <w:t xml:space="preserve"> </w:t>
      </w:r>
      <w:r w:rsidR="00E64702" w:rsidRPr="00664A05">
        <w:rPr>
          <w:rFonts w:ascii="Arial" w:hAnsi="Arial" w:cs="Arial"/>
          <w:lang w:eastAsia="en-GB"/>
        </w:rPr>
        <w:t>trade union</w:t>
      </w:r>
      <w:r w:rsidRPr="00664A05">
        <w:rPr>
          <w:rFonts w:ascii="Arial" w:hAnsi="Arial" w:cs="Arial"/>
          <w:lang w:eastAsia="en-GB"/>
        </w:rPr>
        <w:t xml:space="preserve"> to discuss the matter.</w:t>
      </w:r>
    </w:p>
    <w:p w:rsidR="00C164F2" w:rsidRPr="00664A05" w:rsidRDefault="00C164F2" w:rsidP="00C75C1A">
      <w:pPr>
        <w:spacing w:after="0" w:line="264" w:lineRule="auto"/>
        <w:ind w:firstLine="720"/>
        <w:rPr>
          <w:rFonts w:ascii="Arial" w:hAnsi="Arial" w:cs="Arial"/>
          <w:lang w:eastAsia="en-GB"/>
        </w:rPr>
      </w:pPr>
    </w:p>
    <w:p w:rsidR="00D5500A" w:rsidRPr="00664A05"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F</w:t>
      </w:r>
      <w:r w:rsidR="00C164F2" w:rsidRPr="00664A05">
        <w:rPr>
          <w:rFonts w:ascii="Arial" w:hAnsi="Arial" w:cs="Arial"/>
          <w:lang w:eastAsia="en-GB"/>
        </w:rPr>
        <w:t>inancial regulations require that any suspicion of fraud, corruption or other financial irregularity is reported to Internal Aud</w:t>
      </w:r>
      <w:r w:rsidR="00E64702" w:rsidRPr="00664A05">
        <w:rPr>
          <w:rFonts w:ascii="Arial" w:hAnsi="Arial" w:cs="Arial"/>
          <w:lang w:eastAsia="en-GB"/>
        </w:rPr>
        <w:t xml:space="preserve">it for possible investigation. </w:t>
      </w:r>
      <w:r w:rsidR="00C164F2" w:rsidRPr="00664A05">
        <w:rPr>
          <w:rFonts w:ascii="Arial" w:hAnsi="Arial" w:cs="Arial"/>
          <w:lang w:eastAsia="en-GB"/>
        </w:rPr>
        <w:t xml:space="preserve">Normally an employee must first report any suspicion </w:t>
      </w:r>
      <w:r w:rsidR="00E64702" w:rsidRPr="00664A05">
        <w:rPr>
          <w:rFonts w:ascii="Arial" w:hAnsi="Arial" w:cs="Arial"/>
          <w:lang w:eastAsia="en-GB"/>
        </w:rPr>
        <w:t xml:space="preserve">of such an irregularity to the </w:t>
      </w:r>
      <w:r w:rsidR="00FC6199" w:rsidRPr="00664A05">
        <w:rPr>
          <w:rFonts w:ascii="Arial" w:hAnsi="Arial" w:cs="Arial"/>
          <w:lang w:eastAsia="en-GB"/>
        </w:rPr>
        <w:t>Principal</w:t>
      </w:r>
      <w:r w:rsidRPr="00664A05">
        <w:rPr>
          <w:rFonts w:ascii="Arial" w:hAnsi="Arial" w:cs="Arial"/>
          <w:lang w:eastAsia="en-GB"/>
        </w:rPr>
        <w:t xml:space="preserve"> or C</w:t>
      </w:r>
      <w:r w:rsidR="00C164F2" w:rsidRPr="00664A05">
        <w:rPr>
          <w:rFonts w:ascii="Arial" w:hAnsi="Arial" w:cs="Arial"/>
          <w:lang w:eastAsia="en-GB"/>
        </w:rPr>
        <w:t xml:space="preserve">hair of </w:t>
      </w:r>
      <w:r w:rsidR="00FC6199" w:rsidRPr="00664A05">
        <w:rPr>
          <w:rFonts w:ascii="Arial" w:hAnsi="Arial" w:cs="Arial"/>
          <w:lang w:eastAsia="en-GB"/>
        </w:rPr>
        <w:t>Trustee</w:t>
      </w:r>
      <w:r w:rsidR="00C164F2" w:rsidRPr="00664A05">
        <w:rPr>
          <w:rFonts w:ascii="Arial" w:hAnsi="Arial" w:cs="Arial"/>
          <w:lang w:eastAsia="en-GB"/>
        </w:rPr>
        <w:t>s (but see section 5), who will in turn report it to Internal Audi</w:t>
      </w:r>
      <w:r w:rsidR="00E64702" w:rsidRPr="00664A05">
        <w:rPr>
          <w:rFonts w:ascii="Arial" w:hAnsi="Arial" w:cs="Arial"/>
          <w:lang w:eastAsia="en-GB"/>
        </w:rPr>
        <w:t>t</w:t>
      </w:r>
      <w:r w:rsidR="00F648F7" w:rsidRPr="00664A05">
        <w:rPr>
          <w:rFonts w:ascii="Arial" w:hAnsi="Arial" w:cs="Arial"/>
          <w:lang w:eastAsia="en-GB"/>
        </w:rPr>
        <w:t>ors</w:t>
      </w:r>
      <w:r w:rsidR="00E64702" w:rsidRPr="00664A05">
        <w:rPr>
          <w:rFonts w:ascii="Arial" w:hAnsi="Arial" w:cs="Arial"/>
          <w:lang w:eastAsia="en-GB"/>
        </w:rPr>
        <w:t xml:space="preserve"> </w:t>
      </w:r>
      <w:r w:rsidR="00F648F7" w:rsidRPr="00664A05">
        <w:rPr>
          <w:rFonts w:ascii="Arial" w:hAnsi="Arial" w:cs="Arial"/>
          <w:lang w:eastAsia="en-GB"/>
        </w:rPr>
        <w:t xml:space="preserve">or </w:t>
      </w:r>
      <w:r w:rsidRPr="00664A05">
        <w:rPr>
          <w:rFonts w:ascii="Arial" w:hAnsi="Arial" w:cs="Arial"/>
          <w:lang w:eastAsia="en-GB"/>
        </w:rPr>
        <w:t xml:space="preserve">the </w:t>
      </w:r>
      <w:r w:rsidR="00664A05" w:rsidRPr="00664A05">
        <w:rPr>
          <w:rFonts w:ascii="Arial" w:hAnsi="Arial" w:cs="Arial"/>
          <w:lang w:eastAsia="en-GB"/>
        </w:rPr>
        <w:t>DfE</w:t>
      </w:r>
      <w:r w:rsidR="00F648F7" w:rsidRPr="00664A05">
        <w:rPr>
          <w:rFonts w:ascii="Arial" w:hAnsi="Arial" w:cs="Arial"/>
          <w:lang w:eastAsia="en-GB"/>
        </w:rPr>
        <w:t>.</w:t>
      </w:r>
    </w:p>
    <w:p w:rsidR="00664A05" w:rsidRPr="00664A05" w:rsidRDefault="00664A05" w:rsidP="00664A05">
      <w:pPr>
        <w:spacing w:after="0" w:line="264" w:lineRule="auto"/>
        <w:rPr>
          <w:rFonts w:ascii="Arial" w:hAnsi="Arial" w:cs="Arial"/>
          <w:lang w:eastAsia="en-GB"/>
        </w:rPr>
      </w:pPr>
    </w:p>
    <w:p w:rsidR="00664A05" w:rsidRPr="00664A05" w:rsidRDefault="00664A05" w:rsidP="00664A05">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Where a disclosure is merely an expression of opinion that fails to show that a legal obligation has been or is likely to be breached, it cannot amount to a protected or qualifying disclosure for the purposes of the whistleblowing legislation.</w:t>
      </w:r>
    </w:p>
    <w:p w:rsidR="00C75C1A" w:rsidRPr="00664A05" w:rsidRDefault="00C75C1A" w:rsidP="00C75C1A">
      <w:pPr>
        <w:spacing w:after="0" w:line="264" w:lineRule="auto"/>
        <w:rPr>
          <w:rFonts w:ascii="Arial" w:hAnsi="Arial" w:cs="Arial"/>
          <w:b/>
          <w:lang w:eastAsia="en-GB"/>
        </w:rPr>
      </w:pPr>
    </w:p>
    <w:p w:rsidR="00D5500A" w:rsidRPr="00664A05" w:rsidRDefault="00D5500A"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This policy is for disclosures about matters other than a breach of an employee’s</w:t>
      </w:r>
      <w:r w:rsidR="00C75C1A" w:rsidRPr="00664A05">
        <w:rPr>
          <w:rFonts w:ascii="Arial" w:hAnsi="Arial" w:cs="Arial"/>
          <w:lang w:eastAsia="en-GB"/>
        </w:rPr>
        <w:t xml:space="preserve"> </w:t>
      </w:r>
      <w:r w:rsidRPr="00664A05">
        <w:rPr>
          <w:rFonts w:ascii="Arial" w:hAnsi="Arial" w:cs="Arial"/>
          <w:lang w:eastAsia="en-GB"/>
        </w:rPr>
        <w:t>own contract of employment. If an employee is concerned that their own contract has been, or is likely to be, breached he/she should use the UTC’s grievance procedure.</w:t>
      </w:r>
    </w:p>
    <w:p w:rsidR="00C75C1A" w:rsidRPr="00664A05" w:rsidRDefault="00C75C1A" w:rsidP="00C75C1A">
      <w:pPr>
        <w:spacing w:after="0" w:line="264" w:lineRule="auto"/>
        <w:rPr>
          <w:rFonts w:ascii="Arial" w:hAnsi="Arial" w:cs="Arial"/>
          <w:lang w:eastAsia="en-GB"/>
        </w:rPr>
      </w:pPr>
    </w:p>
    <w:p w:rsidR="00D5500A" w:rsidRPr="00664A05" w:rsidRDefault="00D5500A"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Where the concerns are about safeguarding children or young people, the UTC’s Designated Safeguarding Lead (DSL) must be notified and the Safeguarding Policy will normally be followed</w:t>
      </w:r>
    </w:p>
    <w:p w:rsidR="00D5500A" w:rsidRPr="00664A05" w:rsidRDefault="00D5500A" w:rsidP="00C75C1A">
      <w:pPr>
        <w:spacing w:after="0" w:line="264" w:lineRule="auto"/>
        <w:rPr>
          <w:rFonts w:ascii="Arial" w:hAnsi="Arial" w:cs="Arial"/>
          <w:lang w:eastAsia="en-GB"/>
        </w:rPr>
      </w:pPr>
    </w:p>
    <w:p w:rsidR="00D5500A" w:rsidRPr="00664A05" w:rsidRDefault="00D5500A"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 xml:space="preserve">Concern about a colleague’s professional capability should not be dealt with using this policy.  The Appraisal and Capability Policy is appropriate in this case. </w:t>
      </w:r>
    </w:p>
    <w:p w:rsidR="00D5500A" w:rsidRPr="00664A05" w:rsidRDefault="00D5500A" w:rsidP="00C75C1A">
      <w:pPr>
        <w:spacing w:after="0" w:line="264" w:lineRule="auto"/>
        <w:rPr>
          <w:rFonts w:ascii="Arial" w:hAnsi="Arial" w:cs="Arial"/>
          <w:lang w:eastAsia="en-GB"/>
        </w:rPr>
      </w:pPr>
    </w:p>
    <w:p w:rsidR="00D5500A" w:rsidRPr="00664A05" w:rsidRDefault="00D5500A" w:rsidP="00C75C1A">
      <w:pPr>
        <w:spacing w:after="0" w:line="264" w:lineRule="auto"/>
        <w:rPr>
          <w:rFonts w:ascii="Arial" w:hAnsi="Arial" w:cs="Arial"/>
          <w:lang w:eastAsia="en-GB"/>
        </w:rPr>
      </w:pPr>
    </w:p>
    <w:p w:rsidR="00C164F2" w:rsidRPr="00664A05" w:rsidRDefault="00C164F2" w:rsidP="00C75C1A">
      <w:pPr>
        <w:spacing w:after="0" w:line="264" w:lineRule="auto"/>
        <w:rPr>
          <w:rFonts w:ascii="Arial" w:hAnsi="Arial" w:cs="Arial"/>
          <w:b/>
        </w:rPr>
      </w:pPr>
      <w:r w:rsidRPr="00664A05">
        <w:rPr>
          <w:rFonts w:ascii="Arial" w:hAnsi="Arial" w:cs="Arial"/>
          <w:b/>
        </w:rPr>
        <w:t>Principles</w:t>
      </w:r>
    </w:p>
    <w:p w:rsidR="00292411" w:rsidRPr="00664A05" w:rsidRDefault="00292411" w:rsidP="00C75C1A">
      <w:pPr>
        <w:spacing w:after="0" w:line="264" w:lineRule="auto"/>
        <w:rPr>
          <w:rFonts w:ascii="Arial" w:hAnsi="Arial" w:cs="Arial"/>
          <w:b/>
        </w:rPr>
      </w:pPr>
    </w:p>
    <w:p w:rsidR="00C164F2" w:rsidRPr="00C75C1A" w:rsidRDefault="00AF3FD2" w:rsidP="00C75C1A">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A</w:t>
      </w:r>
      <w:r w:rsidR="00C164F2" w:rsidRPr="00664A05">
        <w:rPr>
          <w:rFonts w:ascii="Arial" w:hAnsi="Arial" w:cs="Arial"/>
          <w:lang w:eastAsia="en-GB"/>
        </w:rPr>
        <w:t>ny matter raised under this policy</w:t>
      </w:r>
      <w:r w:rsidR="007618C8" w:rsidRPr="00664A05">
        <w:rPr>
          <w:rFonts w:ascii="Arial" w:hAnsi="Arial" w:cs="Arial"/>
          <w:lang w:eastAsia="en-GB"/>
        </w:rPr>
        <w:t xml:space="preserve"> and procedure</w:t>
      </w:r>
      <w:r w:rsidR="00C164F2" w:rsidRPr="00664A05">
        <w:rPr>
          <w:rFonts w:ascii="Arial" w:hAnsi="Arial" w:cs="Arial"/>
          <w:lang w:eastAsia="en-GB"/>
        </w:rPr>
        <w:t xml:space="preserve"> will be investigated thoroughly, promptly </w:t>
      </w:r>
      <w:r w:rsidR="00E64702" w:rsidRPr="00664A05">
        <w:rPr>
          <w:rFonts w:ascii="Arial" w:hAnsi="Arial" w:cs="Arial"/>
          <w:lang w:eastAsia="en-GB"/>
        </w:rPr>
        <w:t xml:space="preserve">and confidentially. Whilst the </w:t>
      </w:r>
      <w:r w:rsidR="00FC6199" w:rsidRPr="00664A05">
        <w:rPr>
          <w:rFonts w:ascii="Arial" w:hAnsi="Arial" w:cs="Arial"/>
          <w:lang w:eastAsia="en-GB"/>
        </w:rPr>
        <w:t>UTC</w:t>
      </w:r>
      <w:r w:rsidR="00C164F2" w:rsidRPr="00664A05">
        <w:rPr>
          <w:rFonts w:ascii="Arial" w:hAnsi="Arial" w:cs="Arial"/>
          <w:lang w:eastAsia="en-GB"/>
        </w:rPr>
        <w:t xml:space="preserve"> will aim to keep the employee informed of the</w:t>
      </w:r>
      <w:r w:rsidR="00C164F2" w:rsidRPr="00C75C1A">
        <w:rPr>
          <w:rFonts w:ascii="Arial" w:hAnsi="Arial" w:cs="Arial"/>
          <w:lang w:eastAsia="en-GB"/>
        </w:rPr>
        <w:t xml:space="preserve"> progress of the investigation and likely timescales</w:t>
      </w:r>
      <w:r w:rsidRPr="00C75C1A">
        <w:rPr>
          <w:rFonts w:ascii="Arial" w:hAnsi="Arial" w:cs="Arial"/>
          <w:lang w:eastAsia="en-GB"/>
        </w:rPr>
        <w:t>,</w:t>
      </w:r>
      <w:r w:rsidR="00C164F2" w:rsidRPr="00C75C1A">
        <w:rPr>
          <w:rFonts w:ascii="Arial" w:hAnsi="Arial" w:cs="Arial"/>
          <w:lang w:eastAsia="en-GB"/>
        </w:rPr>
        <w:t xml:space="preserve"> sometimes the requirement for confidentiality will prevent full information about the investigation and any consequential disciplina</w:t>
      </w:r>
      <w:r w:rsidR="00E64702" w:rsidRPr="00C75C1A">
        <w:rPr>
          <w:rFonts w:ascii="Arial" w:hAnsi="Arial" w:cs="Arial"/>
          <w:lang w:eastAsia="en-GB"/>
        </w:rPr>
        <w:t>ry action from being disclosed</w:t>
      </w:r>
      <w:r w:rsidR="007C66D9" w:rsidRPr="00C75C1A">
        <w:rPr>
          <w:rFonts w:ascii="Arial" w:hAnsi="Arial" w:cs="Arial"/>
          <w:lang w:eastAsia="en-GB"/>
        </w:rPr>
        <w:t>.</w:t>
      </w:r>
    </w:p>
    <w:p w:rsidR="00C164F2" w:rsidRPr="00FC6199" w:rsidRDefault="00C164F2" w:rsidP="00C75C1A">
      <w:pPr>
        <w:spacing w:after="0" w:line="264" w:lineRule="auto"/>
        <w:rPr>
          <w:rFonts w:ascii="Arial" w:hAnsi="Arial" w:cs="Arial"/>
          <w:lang w:eastAsia="en-GB"/>
        </w:rPr>
      </w:pPr>
    </w:p>
    <w:p w:rsidR="00C164F2" w:rsidRDefault="00AF3FD2"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N</w:t>
      </w:r>
      <w:r w:rsidR="00C164F2" w:rsidRPr="00C75C1A">
        <w:rPr>
          <w:rFonts w:ascii="Arial" w:hAnsi="Arial" w:cs="Arial"/>
          <w:lang w:eastAsia="en-GB"/>
        </w:rPr>
        <w:t xml:space="preserve">o employee will be victimised for raising a matter under this policy. This means that the continued employment and opportunities for future promotion or training of the employee will not be prejudiced because he/she </w:t>
      </w:r>
      <w:r w:rsidR="00E64702" w:rsidRPr="00C75C1A">
        <w:rPr>
          <w:rFonts w:ascii="Arial" w:hAnsi="Arial" w:cs="Arial"/>
          <w:lang w:eastAsia="en-GB"/>
        </w:rPr>
        <w:t>has raised a legitimate concern</w:t>
      </w:r>
      <w:r w:rsidR="007C66D9" w:rsidRPr="00C75C1A">
        <w:rPr>
          <w:rFonts w:ascii="Arial" w:hAnsi="Arial" w:cs="Arial"/>
          <w:lang w:eastAsia="en-GB"/>
        </w:rPr>
        <w:t>.</w:t>
      </w:r>
    </w:p>
    <w:p w:rsidR="00664A05" w:rsidRPr="00664A05" w:rsidRDefault="00664A05" w:rsidP="00664A05">
      <w:pPr>
        <w:spacing w:after="0" w:line="264" w:lineRule="auto"/>
        <w:rPr>
          <w:rFonts w:ascii="Arial" w:hAnsi="Arial" w:cs="Arial"/>
          <w:lang w:eastAsia="en-GB"/>
        </w:rPr>
      </w:pPr>
    </w:p>
    <w:p w:rsidR="00664A05" w:rsidRPr="00C75C1A" w:rsidRDefault="00664A05" w:rsidP="00664A05">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 xml:space="preserve">Staff must not suffer any detrimental treatment as a result of raising a genuine concern. Detrimental treatment includes dismissal, disciplinary action, threats, or other unfavourable </w:t>
      </w:r>
      <w:r w:rsidRPr="00C75C1A">
        <w:rPr>
          <w:rFonts w:ascii="Arial" w:hAnsi="Arial" w:cs="Arial"/>
          <w:lang w:eastAsia="en-GB"/>
        </w:rPr>
        <w:lastRenderedPageBreak/>
        <w:t xml:space="preserve">treatment connected with raising a concern. If a member of staff believes they have suffered such treatment then then should raise it through the Grievance Procedure. </w:t>
      </w:r>
    </w:p>
    <w:p w:rsidR="00664A05" w:rsidRPr="002C00A8" w:rsidRDefault="00664A05" w:rsidP="00664A05">
      <w:pPr>
        <w:spacing w:after="0" w:line="264" w:lineRule="auto"/>
        <w:rPr>
          <w:rFonts w:ascii="Arial" w:hAnsi="Arial" w:cs="Arial"/>
          <w:lang w:eastAsia="en-GB"/>
        </w:rPr>
      </w:pPr>
    </w:p>
    <w:p w:rsidR="00664A05" w:rsidRDefault="00664A05" w:rsidP="00664A05">
      <w:pPr>
        <w:pStyle w:val="ListParagraph"/>
        <w:numPr>
          <w:ilvl w:val="0"/>
          <w:numId w:val="30"/>
        </w:numPr>
        <w:spacing w:after="0" w:line="264" w:lineRule="auto"/>
        <w:rPr>
          <w:rFonts w:ascii="Arial" w:hAnsi="Arial" w:cs="Arial"/>
          <w:lang w:eastAsia="en-GB"/>
        </w:rPr>
      </w:pPr>
      <w:r w:rsidRPr="00664A05">
        <w:rPr>
          <w:rFonts w:ascii="Arial" w:hAnsi="Arial" w:cs="Arial"/>
          <w:lang w:eastAsia="en-GB"/>
        </w:rPr>
        <w:t xml:space="preserve">Staff must not threaten or retaliate against </w:t>
      </w:r>
      <w:proofErr w:type="spellStart"/>
      <w:r w:rsidRPr="00664A05">
        <w:rPr>
          <w:rFonts w:ascii="Arial" w:hAnsi="Arial" w:cs="Arial"/>
          <w:lang w:eastAsia="en-GB"/>
        </w:rPr>
        <w:t>whistleblowers</w:t>
      </w:r>
      <w:proofErr w:type="spellEnd"/>
      <w:r w:rsidRPr="00664A05">
        <w:rPr>
          <w:rFonts w:ascii="Arial" w:hAnsi="Arial" w:cs="Arial"/>
          <w:lang w:eastAsia="en-GB"/>
        </w:rPr>
        <w:t xml:space="preserve"> in any way. Anyone involved in such conduct will be subject to disciplinary action. In some cases, the </w:t>
      </w:r>
      <w:proofErr w:type="spellStart"/>
      <w:r w:rsidRPr="00664A05">
        <w:rPr>
          <w:rFonts w:ascii="Arial" w:hAnsi="Arial" w:cs="Arial"/>
          <w:lang w:eastAsia="en-GB"/>
        </w:rPr>
        <w:t>whistleblower</w:t>
      </w:r>
      <w:proofErr w:type="spellEnd"/>
      <w:r w:rsidRPr="00664A05">
        <w:rPr>
          <w:rFonts w:ascii="Arial" w:hAnsi="Arial" w:cs="Arial"/>
          <w:lang w:eastAsia="en-GB"/>
        </w:rPr>
        <w:t xml:space="preserve"> could have a right to sue an individual personally for compensation in an employment tribunal.</w:t>
      </w:r>
    </w:p>
    <w:p w:rsidR="00664A05" w:rsidRPr="00664A05" w:rsidRDefault="00664A05" w:rsidP="00664A05">
      <w:pPr>
        <w:spacing w:after="0" w:line="264" w:lineRule="auto"/>
        <w:rPr>
          <w:rFonts w:ascii="Arial" w:hAnsi="Arial" w:cs="Arial"/>
          <w:lang w:eastAsia="en-GB"/>
        </w:rPr>
      </w:pPr>
    </w:p>
    <w:p w:rsidR="00664A05" w:rsidRDefault="00664A05" w:rsidP="00664A05">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An instruction to cover up wrongdoing is in itself a disciplinary offence. If told not to raise or pursue any concern, even by a person in authority, employees should not agree to remain silent.</w:t>
      </w:r>
    </w:p>
    <w:p w:rsidR="00664A05" w:rsidRPr="00664A05" w:rsidRDefault="00664A05" w:rsidP="00664A05">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I</w:t>
      </w:r>
      <w:r w:rsidR="00C164F2" w:rsidRPr="00C75C1A">
        <w:rPr>
          <w:rFonts w:ascii="Arial" w:hAnsi="Arial" w:cs="Arial"/>
          <w:lang w:eastAsia="en-GB"/>
        </w:rPr>
        <w:t xml:space="preserve">f misconduct is discovered as a result of any investigation under this policy the matter will be considered under the </w:t>
      </w:r>
      <w:r w:rsidR="00FC6199" w:rsidRPr="00C75C1A">
        <w:rPr>
          <w:rFonts w:ascii="Arial" w:hAnsi="Arial" w:cs="Arial"/>
          <w:lang w:eastAsia="en-GB"/>
        </w:rPr>
        <w:t>UTC</w:t>
      </w:r>
      <w:r w:rsidR="00E64702" w:rsidRPr="00C75C1A">
        <w:rPr>
          <w:rFonts w:ascii="Arial" w:hAnsi="Arial" w:cs="Arial"/>
          <w:lang w:eastAsia="en-GB"/>
        </w:rPr>
        <w:t>’s disciplinary procedure</w:t>
      </w:r>
      <w:r w:rsidR="00C164F2" w:rsidRPr="00C75C1A">
        <w:rPr>
          <w:rFonts w:ascii="Arial" w:hAnsi="Arial" w:cs="Arial"/>
          <w:lang w:eastAsia="en-GB"/>
        </w:rPr>
        <w:t>, in addition to an</w:t>
      </w:r>
      <w:r w:rsidR="00E64702" w:rsidRPr="00C75C1A">
        <w:rPr>
          <w:rFonts w:ascii="Arial" w:hAnsi="Arial" w:cs="Arial"/>
          <w:lang w:eastAsia="en-GB"/>
        </w:rPr>
        <w:t>y appropriate external measures</w:t>
      </w:r>
      <w:r w:rsidR="007C66D9" w:rsidRPr="00C75C1A">
        <w:rPr>
          <w:rFonts w:ascii="Arial" w:hAnsi="Arial" w:cs="Arial"/>
          <w:lang w:eastAsia="en-GB"/>
        </w:rPr>
        <w:t>.</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M</w:t>
      </w:r>
      <w:r w:rsidR="00C164F2" w:rsidRPr="00C75C1A">
        <w:rPr>
          <w:rFonts w:ascii="Arial" w:hAnsi="Arial" w:cs="Arial"/>
          <w:lang w:eastAsia="en-GB"/>
        </w:rPr>
        <w:t>aliciously making a false alleg</w:t>
      </w:r>
      <w:r w:rsidR="00E64702" w:rsidRPr="00C75C1A">
        <w:rPr>
          <w:rFonts w:ascii="Arial" w:hAnsi="Arial" w:cs="Arial"/>
          <w:lang w:eastAsia="en-GB"/>
        </w:rPr>
        <w:t>ation is a disciplinary offence</w:t>
      </w:r>
      <w:r w:rsidR="007C66D9" w:rsidRPr="00C75C1A">
        <w:rPr>
          <w:rFonts w:ascii="Arial" w:hAnsi="Arial" w:cs="Arial"/>
          <w:lang w:eastAsia="en-GB"/>
        </w:rPr>
        <w:t>.</w:t>
      </w:r>
    </w:p>
    <w:p w:rsidR="002C00A8" w:rsidRDefault="002C00A8" w:rsidP="00C75C1A">
      <w:pPr>
        <w:spacing w:after="0" w:line="264" w:lineRule="auto"/>
        <w:rPr>
          <w:rFonts w:ascii="Arial" w:hAnsi="Arial" w:cs="Arial"/>
          <w:lang w:eastAsia="en-GB"/>
        </w:rPr>
      </w:pPr>
    </w:p>
    <w:p w:rsidR="00C164F2" w:rsidRPr="00FC6199" w:rsidRDefault="00C164F2" w:rsidP="00C75C1A">
      <w:pPr>
        <w:spacing w:after="0" w:line="264" w:lineRule="auto"/>
        <w:rPr>
          <w:rFonts w:ascii="Arial" w:hAnsi="Arial" w:cs="Arial"/>
          <w:lang w:eastAsia="en-GB"/>
        </w:rPr>
      </w:pPr>
    </w:p>
    <w:p w:rsidR="00C75C1A" w:rsidRDefault="00C75C1A" w:rsidP="00C75C1A">
      <w:pPr>
        <w:spacing w:after="0" w:line="264" w:lineRule="auto"/>
        <w:rPr>
          <w:rFonts w:ascii="Arial" w:hAnsi="Arial" w:cs="Arial"/>
          <w:b/>
        </w:rPr>
      </w:pPr>
    </w:p>
    <w:p w:rsidR="00C164F2" w:rsidRPr="00C75C1A" w:rsidRDefault="00C164F2" w:rsidP="00C75C1A">
      <w:pPr>
        <w:spacing w:after="0" w:line="264" w:lineRule="auto"/>
        <w:rPr>
          <w:rFonts w:ascii="Arial" w:hAnsi="Arial" w:cs="Arial"/>
          <w:b/>
        </w:rPr>
      </w:pPr>
      <w:r w:rsidRPr="00C75C1A">
        <w:rPr>
          <w:rFonts w:ascii="Arial" w:hAnsi="Arial" w:cs="Arial"/>
          <w:b/>
        </w:rPr>
        <w:t>Procedure</w:t>
      </w:r>
    </w:p>
    <w:p w:rsidR="00292411" w:rsidRPr="00FC6199" w:rsidRDefault="00292411" w:rsidP="00C75C1A">
      <w:pPr>
        <w:spacing w:after="0" w:line="264" w:lineRule="auto"/>
        <w:rPr>
          <w:rFonts w:ascii="Arial" w:hAnsi="Arial" w:cs="Arial"/>
          <w: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I</w:t>
      </w:r>
      <w:r w:rsidR="00C164F2" w:rsidRPr="00C75C1A">
        <w:rPr>
          <w:rFonts w:ascii="Arial" w:hAnsi="Arial" w:cs="Arial"/>
          <w:lang w:eastAsia="en-GB"/>
        </w:rPr>
        <w:t xml:space="preserve">n the first instance, unless the employee reasonably believes </w:t>
      </w:r>
      <w:r w:rsidR="00660B54" w:rsidRPr="00C75C1A">
        <w:rPr>
          <w:rFonts w:ascii="Arial" w:hAnsi="Arial" w:cs="Arial"/>
          <w:lang w:eastAsia="en-GB"/>
        </w:rPr>
        <w:t>their</w:t>
      </w:r>
      <w:r w:rsidR="00E64702" w:rsidRPr="00C75C1A">
        <w:rPr>
          <w:rFonts w:ascii="Arial" w:hAnsi="Arial" w:cs="Arial"/>
          <w:lang w:eastAsia="en-GB"/>
        </w:rPr>
        <w:t xml:space="preserve"> </w:t>
      </w:r>
      <w:r w:rsidR="00FC6199" w:rsidRPr="00C75C1A">
        <w:rPr>
          <w:rFonts w:ascii="Arial" w:hAnsi="Arial" w:cs="Arial"/>
          <w:lang w:eastAsia="en-GB"/>
        </w:rPr>
        <w:t>Principal</w:t>
      </w:r>
      <w:r w:rsidR="00C164F2" w:rsidRPr="00C75C1A">
        <w:rPr>
          <w:rFonts w:ascii="Arial" w:hAnsi="Arial" w:cs="Arial"/>
          <w:lang w:eastAsia="en-GB"/>
        </w:rPr>
        <w:t xml:space="preserve"> to be involved in the wrongdoing, any concerns should</w:t>
      </w:r>
      <w:r w:rsidR="00E64702" w:rsidRPr="00C75C1A">
        <w:rPr>
          <w:rFonts w:ascii="Arial" w:hAnsi="Arial" w:cs="Arial"/>
          <w:lang w:eastAsia="en-GB"/>
        </w:rPr>
        <w:t xml:space="preserve"> be raised with the employee’s </w:t>
      </w:r>
      <w:r w:rsidR="00FC6199" w:rsidRPr="00C75C1A">
        <w:rPr>
          <w:rFonts w:ascii="Arial" w:hAnsi="Arial" w:cs="Arial"/>
          <w:lang w:eastAsia="en-GB"/>
        </w:rPr>
        <w:t>Principal</w:t>
      </w:r>
      <w:r w:rsidR="00E64702" w:rsidRPr="00C75C1A">
        <w:rPr>
          <w:rFonts w:ascii="Arial" w:hAnsi="Arial" w:cs="Arial"/>
          <w:lang w:eastAsia="en-GB"/>
        </w:rPr>
        <w:t xml:space="preserve">. If he/she believes the </w:t>
      </w:r>
      <w:r w:rsidR="00FC6199" w:rsidRPr="00C75C1A">
        <w:rPr>
          <w:rFonts w:ascii="Arial" w:hAnsi="Arial" w:cs="Arial"/>
          <w:lang w:eastAsia="en-GB"/>
        </w:rPr>
        <w:t>Principal</w:t>
      </w:r>
      <w:r w:rsidR="00C164F2" w:rsidRPr="00C75C1A">
        <w:rPr>
          <w:rFonts w:ascii="Arial" w:hAnsi="Arial" w:cs="Arial"/>
          <w:lang w:eastAsia="en-GB"/>
        </w:rPr>
        <w:t xml:space="preserve"> to be involved, then the employee should </w:t>
      </w:r>
      <w:r w:rsidR="00EA46FA" w:rsidRPr="00C75C1A">
        <w:rPr>
          <w:rFonts w:ascii="Arial" w:hAnsi="Arial" w:cs="Arial"/>
          <w:lang w:eastAsia="en-GB"/>
        </w:rPr>
        <w:t>contact the Chair of Trustees</w:t>
      </w:r>
      <w:r w:rsidR="007C66D9" w:rsidRPr="00C75C1A">
        <w:rPr>
          <w:rFonts w:ascii="Arial" w:hAnsi="Arial" w:cs="Arial"/>
          <w:lang w:eastAsia="en-GB"/>
        </w:rPr>
        <w:t>.</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T</w:t>
      </w:r>
      <w:r w:rsidR="00C164F2" w:rsidRPr="00C75C1A">
        <w:rPr>
          <w:rFonts w:ascii="Arial" w:hAnsi="Arial" w:cs="Arial"/>
          <w:lang w:eastAsia="en-GB"/>
        </w:rPr>
        <w:t xml:space="preserve">he </w:t>
      </w:r>
      <w:r w:rsidR="00FC6199" w:rsidRPr="00C75C1A">
        <w:rPr>
          <w:rFonts w:ascii="Arial" w:hAnsi="Arial" w:cs="Arial"/>
          <w:lang w:eastAsia="en-GB"/>
        </w:rPr>
        <w:t>Principal</w:t>
      </w:r>
      <w:r w:rsidR="00C41380" w:rsidRPr="00C75C1A">
        <w:rPr>
          <w:rFonts w:ascii="Arial" w:hAnsi="Arial" w:cs="Arial"/>
          <w:lang w:eastAsia="en-GB"/>
        </w:rPr>
        <w:t xml:space="preserve"> </w:t>
      </w:r>
      <w:r w:rsidR="00E64702" w:rsidRPr="00C75C1A">
        <w:rPr>
          <w:rFonts w:ascii="Arial" w:hAnsi="Arial" w:cs="Arial"/>
          <w:lang w:eastAsia="en-GB"/>
        </w:rPr>
        <w:t>/</w:t>
      </w:r>
      <w:r w:rsidR="00C41380" w:rsidRPr="00C75C1A">
        <w:rPr>
          <w:rFonts w:ascii="Arial" w:hAnsi="Arial" w:cs="Arial"/>
          <w:lang w:eastAsia="en-GB"/>
        </w:rPr>
        <w:t xml:space="preserve"> C</w:t>
      </w:r>
      <w:r w:rsidR="00E64702" w:rsidRPr="00C75C1A">
        <w:rPr>
          <w:rFonts w:ascii="Arial" w:hAnsi="Arial" w:cs="Arial"/>
          <w:lang w:eastAsia="en-GB"/>
        </w:rPr>
        <w:t xml:space="preserve">hair of </w:t>
      </w:r>
      <w:r w:rsidR="00FC6199" w:rsidRPr="00C75C1A">
        <w:rPr>
          <w:rFonts w:ascii="Arial" w:hAnsi="Arial" w:cs="Arial"/>
          <w:lang w:eastAsia="en-GB"/>
        </w:rPr>
        <w:t>Trustee</w:t>
      </w:r>
      <w:r w:rsidR="00E64702" w:rsidRPr="00C75C1A">
        <w:rPr>
          <w:rFonts w:ascii="Arial" w:hAnsi="Arial" w:cs="Arial"/>
          <w:lang w:eastAsia="en-GB"/>
        </w:rPr>
        <w:t>s</w:t>
      </w:r>
      <w:r w:rsidR="00C164F2" w:rsidRPr="00C75C1A">
        <w:rPr>
          <w:rFonts w:ascii="Arial" w:hAnsi="Arial" w:cs="Arial"/>
          <w:lang w:eastAsia="en-GB"/>
        </w:rPr>
        <w:t xml:space="preserve"> will arrange an investigation into the matter (either by investigating the matter </w:t>
      </w:r>
      <w:proofErr w:type="spellStart"/>
      <w:r w:rsidR="00664A05">
        <w:rPr>
          <w:rFonts w:ascii="Arial" w:hAnsi="Arial" w:cs="Arial"/>
          <w:lang w:eastAsia="en-GB"/>
        </w:rPr>
        <w:t>them</w:t>
      </w:r>
      <w:r w:rsidR="00C164F2" w:rsidRPr="00C75C1A">
        <w:rPr>
          <w:rFonts w:ascii="Arial" w:hAnsi="Arial" w:cs="Arial"/>
          <w:lang w:eastAsia="en-GB"/>
        </w:rPr>
        <w:t>self</w:t>
      </w:r>
      <w:proofErr w:type="spellEnd"/>
      <w:r w:rsidR="00C164F2" w:rsidRPr="00C75C1A">
        <w:rPr>
          <w:rFonts w:ascii="Arial" w:hAnsi="Arial" w:cs="Arial"/>
          <w:lang w:eastAsia="en-GB"/>
        </w:rPr>
        <w:t xml:space="preserve"> or passing the issue to someone in a senior position). The investigation may involve the employee and others involved giving written statements. Any investigation will be carried out in accordance with</w:t>
      </w:r>
      <w:r w:rsidR="00E64702" w:rsidRPr="00C75C1A">
        <w:rPr>
          <w:rFonts w:ascii="Arial" w:hAnsi="Arial" w:cs="Arial"/>
          <w:lang w:eastAsia="en-GB"/>
        </w:rPr>
        <w:t xml:space="preserve"> the principles set out above. </w:t>
      </w:r>
    </w:p>
    <w:p w:rsidR="00E64702" w:rsidRPr="00FC6199" w:rsidRDefault="00E64702" w:rsidP="00C75C1A">
      <w:pPr>
        <w:spacing w:after="0" w:line="264" w:lineRule="auto"/>
        <w:rPr>
          <w:rFonts w:ascii="Arial" w:hAnsi="Arial" w:cs="Arial"/>
          <w:lang w:eastAsia="en-GB"/>
        </w:rPr>
      </w:pPr>
    </w:p>
    <w:p w:rsidR="00C164F2" w:rsidRPr="00C75C1A" w:rsidRDefault="00C164F2"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 xml:space="preserve">Employees who want to use the procedure but feel uneasy about it may wish to consult their </w:t>
      </w:r>
      <w:r w:rsidR="00E64702" w:rsidRPr="00C75C1A">
        <w:rPr>
          <w:rFonts w:ascii="Arial" w:hAnsi="Arial" w:cs="Arial"/>
          <w:lang w:eastAsia="en-GB"/>
        </w:rPr>
        <w:t>professional association/trade union</w:t>
      </w:r>
      <w:r w:rsidRPr="00C75C1A">
        <w:rPr>
          <w:rFonts w:ascii="Arial" w:hAnsi="Arial" w:cs="Arial"/>
          <w:lang w:eastAsia="en-GB"/>
        </w:rPr>
        <w:t xml:space="preserve"> initially and bring a colleague </w:t>
      </w:r>
      <w:r w:rsidR="00E64702" w:rsidRPr="00C75C1A">
        <w:rPr>
          <w:rFonts w:ascii="Arial" w:hAnsi="Arial" w:cs="Arial"/>
          <w:lang w:eastAsia="en-GB"/>
        </w:rPr>
        <w:t xml:space="preserve">professional association/trade union representative along to any discussions. </w:t>
      </w:r>
      <w:r w:rsidRPr="00C75C1A">
        <w:rPr>
          <w:rFonts w:ascii="Arial" w:hAnsi="Arial" w:cs="Arial"/>
          <w:lang w:eastAsia="en-GB"/>
        </w:rPr>
        <w:t>This is permitted as long as the third par</w:t>
      </w:r>
      <w:r w:rsidR="00E64702" w:rsidRPr="00C75C1A">
        <w:rPr>
          <w:rFonts w:ascii="Arial" w:hAnsi="Arial" w:cs="Arial"/>
          <w:lang w:eastAsia="en-GB"/>
        </w:rPr>
        <w:t>ty is not involved in the issue</w:t>
      </w:r>
      <w:r w:rsidR="007C66D9" w:rsidRPr="00C75C1A">
        <w:rPr>
          <w:rFonts w:ascii="Arial" w:hAnsi="Arial" w:cs="Arial"/>
          <w:lang w:eastAsia="en-GB"/>
        </w:rPr>
        <w:t>.</w:t>
      </w:r>
    </w:p>
    <w:p w:rsidR="00C164F2" w:rsidRPr="00FC6199" w:rsidRDefault="00C164F2" w:rsidP="00C75C1A">
      <w:pPr>
        <w:spacing w:after="0" w:line="264" w:lineRule="auto"/>
        <w:rPr>
          <w:rFonts w:ascii="Arial" w:hAnsi="Arial" w:cs="Arial"/>
          <w:lang w:eastAsia="en-GB"/>
        </w:rPr>
      </w:pPr>
    </w:p>
    <w:p w:rsidR="00C164F2" w:rsidRPr="00C75C1A" w:rsidRDefault="00C164F2"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 xml:space="preserve">Employees are not encouraged to make disclosures anonymously. Proper investigation may be more difficult or impossible if further information cannot be obtained from the employee. It is also more difficult to establish whether any allegations are credible. Employees who are concerned about possible reprisals if their identity is revealed should come forward to </w:t>
      </w:r>
      <w:r w:rsidR="00DB5D70" w:rsidRPr="00C75C1A">
        <w:rPr>
          <w:rFonts w:ascii="Arial" w:hAnsi="Arial" w:cs="Arial"/>
          <w:lang w:eastAsia="en-GB"/>
        </w:rPr>
        <w:t>the Principal or Chair of Trustees</w:t>
      </w:r>
      <w:r w:rsidRPr="00C75C1A">
        <w:rPr>
          <w:rFonts w:ascii="Arial" w:hAnsi="Arial" w:cs="Arial"/>
          <w:lang w:eastAsia="en-GB"/>
        </w:rPr>
        <w:t xml:space="preserve"> and appropriate measures can be taken to preserve confidentialit</w:t>
      </w:r>
      <w:r w:rsidR="00DB5D70" w:rsidRPr="00C75C1A">
        <w:rPr>
          <w:rFonts w:ascii="Arial" w:hAnsi="Arial" w:cs="Arial"/>
          <w:lang w:eastAsia="en-GB"/>
        </w:rPr>
        <w:t>y</w:t>
      </w:r>
      <w:r w:rsidR="007C66D9" w:rsidRPr="00C75C1A">
        <w:rPr>
          <w:rFonts w:ascii="Arial" w:hAnsi="Arial" w:cs="Arial"/>
          <w:lang w:eastAsia="en-GB"/>
        </w:rPr>
        <w:t>.</w:t>
      </w:r>
      <w:r w:rsidR="00DB5D70" w:rsidRPr="00C75C1A">
        <w:rPr>
          <w:rFonts w:ascii="Arial" w:hAnsi="Arial" w:cs="Arial"/>
          <w:lang w:eastAsia="en-GB"/>
        </w:rPr>
        <w:t xml:space="preserve">  Where anonymous concerns are raised they will be investigated as far as is reasonable.</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T</w:t>
      </w:r>
      <w:r w:rsidR="00E64702" w:rsidRPr="00C75C1A">
        <w:rPr>
          <w:rFonts w:ascii="Arial" w:hAnsi="Arial" w:cs="Arial"/>
          <w:lang w:eastAsia="en-GB"/>
        </w:rPr>
        <w:t xml:space="preserve">he </w:t>
      </w:r>
      <w:r w:rsidR="00FC6199" w:rsidRPr="00C75C1A">
        <w:rPr>
          <w:rFonts w:ascii="Arial" w:hAnsi="Arial" w:cs="Arial"/>
          <w:lang w:eastAsia="en-GB"/>
        </w:rPr>
        <w:t>Principal</w:t>
      </w:r>
      <w:r w:rsidR="00C164F2" w:rsidRPr="00C75C1A">
        <w:rPr>
          <w:rFonts w:ascii="Arial" w:hAnsi="Arial" w:cs="Arial"/>
          <w:lang w:eastAsia="en-GB"/>
        </w:rPr>
        <w:t xml:space="preserve"> (or the person who carried out the investigation) will then report to the </w:t>
      </w:r>
      <w:r w:rsidR="00C41380" w:rsidRPr="00C75C1A">
        <w:rPr>
          <w:rFonts w:ascii="Arial" w:hAnsi="Arial" w:cs="Arial"/>
          <w:lang w:eastAsia="en-GB"/>
        </w:rPr>
        <w:t>C</w:t>
      </w:r>
      <w:r w:rsidR="00E64702" w:rsidRPr="00C75C1A">
        <w:rPr>
          <w:rFonts w:ascii="Arial" w:hAnsi="Arial" w:cs="Arial"/>
          <w:lang w:eastAsia="en-GB"/>
        </w:rPr>
        <w:t xml:space="preserve">hair of </w:t>
      </w:r>
      <w:r w:rsidR="00FC6199" w:rsidRPr="00C75C1A">
        <w:rPr>
          <w:rFonts w:ascii="Arial" w:hAnsi="Arial" w:cs="Arial"/>
          <w:lang w:eastAsia="en-GB"/>
        </w:rPr>
        <w:t>Trustee</w:t>
      </w:r>
      <w:r w:rsidR="008E4A8C" w:rsidRPr="00C75C1A">
        <w:rPr>
          <w:rFonts w:ascii="Arial" w:hAnsi="Arial" w:cs="Arial"/>
          <w:lang w:eastAsia="en-GB"/>
        </w:rPr>
        <w:t>s</w:t>
      </w:r>
      <w:r w:rsidR="00C164F2" w:rsidRPr="00C75C1A">
        <w:rPr>
          <w:rFonts w:ascii="Arial" w:hAnsi="Arial" w:cs="Arial"/>
          <w:lang w:eastAsia="en-GB"/>
        </w:rPr>
        <w:t xml:space="preserve"> </w:t>
      </w:r>
      <w:r w:rsidR="00664A05">
        <w:rPr>
          <w:rFonts w:ascii="Arial" w:hAnsi="Arial" w:cs="Arial"/>
          <w:lang w:eastAsia="en-GB"/>
        </w:rPr>
        <w:t>and</w:t>
      </w:r>
      <w:r w:rsidR="00C164F2" w:rsidRPr="00C75C1A">
        <w:rPr>
          <w:rFonts w:ascii="Arial" w:hAnsi="Arial" w:cs="Arial"/>
          <w:lang w:eastAsia="en-GB"/>
        </w:rPr>
        <w:t xml:space="preserve"> will take the necessary action, including reporting the matter to any appropriate department or regulatory agency. If disciplinary action is </w:t>
      </w:r>
      <w:r w:rsidR="00C41380" w:rsidRPr="00C75C1A">
        <w:rPr>
          <w:rFonts w:ascii="Arial" w:hAnsi="Arial" w:cs="Arial"/>
          <w:lang w:eastAsia="en-GB"/>
        </w:rPr>
        <w:t>required,</w:t>
      </w:r>
      <w:r w:rsidR="00C164F2" w:rsidRPr="00C75C1A">
        <w:rPr>
          <w:rFonts w:ascii="Arial" w:hAnsi="Arial" w:cs="Arial"/>
          <w:lang w:eastAsia="en-GB"/>
        </w:rPr>
        <w:t xml:space="preserve"> this will be taken forward by the </w:t>
      </w:r>
      <w:r w:rsidR="00FC6199" w:rsidRPr="00C75C1A">
        <w:rPr>
          <w:rFonts w:ascii="Arial" w:hAnsi="Arial" w:cs="Arial"/>
          <w:lang w:eastAsia="en-GB"/>
        </w:rPr>
        <w:t>Principal</w:t>
      </w:r>
      <w:r w:rsidR="00C41380" w:rsidRPr="00C75C1A">
        <w:rPr>
          <w:rFonts w:ascii="Arial" w:hAnsi="Arial" w:cs="Arial"/>
          <w:lang w:eastAsia="en-GB"/>
        </w:rPr>
        <w:t xml:space="preserve"> </w:t>
      </w:r>
      <w:r w:rsidR="00E64702" w:rsidRPr="00C75C1A">
        <w:rPr>
          <w:rFonts w:ascii="Arial" w:hAnsi="Arial" w:cs="Arial"/>
          <w:lang w:eastAsia="en-GB"/>
        </w:rPr>
        <w:t>/</w:t>
      </w:r>
      <w:r w:rsidR="00C41380" w:rsidRPr="00C75C1A">
        <w:rPr>
          <w:rFonts w:ascii="Arial" w:hAnsi="Arial" w:cs="Arial"/>
          <w:lang w:eastAsia="en-GB"/>
        </w:rPr>
        <w:t xml:space="preserve"> C</w:t>
      </w:r>
      <w:r w:rsidR="00E64702" w:rsidRPr="00C75C1A">
        <w:rPr>
          <w:rFonts w:ascii="Arial" w:hAnsi="Arial" w:cs="Arial"/>
          <w:lang w:eastAsia="en-GB"/>
        </w:rPr>
        <w:t xml:space="preserve">hair of </w:t>
      </w:r>
      <w:r w:rsidR="00FC6199" w:rsidRPr="00C75C1A">
        <w:rPr>
          <w:rFonts w:ascii="Arial" w:hAnsi="Arial" w:cs="Arial"/>
          <w:lang w:eastAsia="en-GB"/>
        </w:rPr>
        <w:t>Trustee</w:t>
      </w:r>
      <w:r w:rsidR="00E64702" w:rsidRPr="00C75C1A">
        <w:rPr>
          <w:rFonts w:ascii="Arial" w:hAnsi="Arial" w:cs="Arial"/>
          <w:lang w:eastAsia="en-GB"/>
        </w:rPr>
        <w:t>s</w:t>
      </w:r>
      <w:r w:rsidR="00C41380" w:rsidRPr="00C75C1A">
        <w:rPr>
          <w:rFonts w:ascii="Arial" w:hAnsi="Arial" w:cs="Arial"/>
          <w:lang w:eastAsia="en-GB"/>
        </w:rPr>
        <w:t xml:space="preserve"> </w:t>
      </w:r>
      <w:r w:rsidR="00C164F2" w:rsidRPr="00C75C1A">
        <w:rPr>
          <w:rFonts w:ascii="Arial" w:hAnsi="Arial" w:cs="Arial"/>
          <w:lang w:eastAsia="en-GB"/>
        </w:rPr>
        <w:t xml:space="preserve">in consultation with the </w:t>
      </w:r>
      <w:r w:rsidR="00FC6199" w:rsidRPr="00C75C1A">
        <w:rPr>
          <w:rFonts w:ascii="Arial" w:hAnsi="Arial" w:cs="Arial"/>
          <w:lang w:eastAsia="en-GB"/>
        </w:rPr>
        <w:t>UTC</w:t>
      </w:r>
      <w:r w:rsidR="00C164F2" w:rsidRPr="00C75C1A">
        <w:rPr>
          <w:rFonts w:ascii="Arial" w:hAnsi="Arial" w:cs="Arial"/>
          <w:lang w:eastAsia="en-GB"/>
        </w:rPr>
        <w:t xml:space="preserve">’s HR </w:t>
      </w:r>
      <w:r w:rsidR="00E64702" w:rsidRPr="00C75C1A">
        <w:rPr>
          <w:rFonts w:ascii="Arial" w:hAnsi="Arial" w:cs="Arial"/>
          <w:lang w:eastAsia="en-GB"/>
        </w:rPr>
        <w:t>advisory team</w:t>
      </w:r>
      <w:r w:rsidR="00C164F2" w:rsidRPr="00C75C1A">
        <w:rPr>
          <w:rFonts w:ascii="Arial" w:hAnsi="Arial" w:cs="Arial"/>
          <w:lang w:eastAsia="en-GB"/>
        </w:rPr>
        <w:t>. On conclusion of any investigation, the employee will be told the outcome of the investigation and what the next steps will be (subject to issues of confidentiality).  If no action is to be taken the re</w:t>
      </w:r>
      <w:r w:rsidR="00E64702" w:rsidRPr="00C75C1A">
        <w:rPr>
          <w:rFonts w:ascii="Arial" w:hAnsi="Arial" w:cs="Arial"/>
          <w:lang w:eastAsia="en-GB"/>
        </w:rPr>
        <w:t>ason for this will be explained</w:t>
      </w:r>
      <w:r w:rsidR="00C41380" w:rsidRPr="00C75C1A">
        <w:rPr>
          <w:rFonts w:ascii="Arial" w:hAnsi="Arial" w:cs="Arial"/>
          <w:lang w:eastAsia="en-GB"/>
        </w:rPr>
        <w:t>.</w:t>
      </w:r>
    </w:p>
    <w:p w:rsidR="00460A25" w:rsidRPr="00FC6199" w:rsidRDefault="00460A25" w:rsidP="00C75C1A">
      <w:pPr>
        <w:spacing w:after="0" w:line="264" w:lineRule="auto"/>
        <w:rPr>
          <w:rFonts w:ascii="Arial" w:hAnsi="Arial" w:cs="Arial"/>
          <w:lang w:eastAsia="en-GB"/>
        </w:rPr>
      </w:pPr>
    </w:p>
    <w:p w:rsidR="00C164F2" w:rsidRPr="00C75C1A" w:rsidRDefault="00C164F2"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lastRenderedPageBreak/>
        <w:t>If the empl</w:t>
      </w:r>
      <w:r w:rsidR="00E64702" w:rsidRPr="00C75C1A">
        <w:rPr>
          <w:rFonts w:ascii="Arial" w:hAnsi="Arial" w:cs="Arial"/>
          <w:lang w:eastAsia="en-GB"/>
        </w:rPr>
        <w:t xml:space="preserve">oyee is concerned that </w:t>
      </w:r>
      <w:r w:rsidR="00660B54" w:rsidRPr="00C75C1A">
        <w:rPr>
          <w:rFonts w:ascii="Arial" w:hAnsi="Arial" w:cs="Arial"/>
          <w:lang w:eastAsia="en-GB"/>
        </w:rPr>
        <w:t>their</w:t>
      </w:r>
      <w:r w:rsidR="00E64702" w:rsidRPr="00C75C1A">
        <w:rPr>
          <w:rFonts w:ascii="Arial" w:hAnsi="Arial" w:cs="Arial"/>
          <w:lang w:eastAsia="en-GB"/>
        </w:rPr>
        <w:t xml:space="preserve"> </w:t>
      </w:r>
      <w:r w:rsidR="00FC6199" w:rsidRPr="00C75C1A">
        <w:rPr>
          <w:rFonts w:ascii="Arial" w:hAnsi="Arial" w:cs="Arial"/>
          <w:lang w:eastAsia="en-GB"/>
        </w:rPr>
        <w:t>Principal</w:t>
      </w:r>
      <w:r w:rsidRPr="00C75C1A">
        <w:rPr>
          <w:rFonts w:ascii="Arial" w:hAnsi="Arial" w:cs="Arial"/>
          <w:lang w:eastAsia="en-GB"/>
        </w:rPr>
        <w:t xml:space="preserve"> is involved in the wrongdoing, has failed to make a proper investigation or has failed to report the outcome of the investigation, he/she should inform the </w:t>
      </w:r>
      <w:r w:rsidR="00D10D3D" w:rsidRPr="00C75C1A">
        <w:rPr>
          <w:rFonts w:ascii="Arial" w:hAnsi="Arial" w:cs="Arial"/>
          <w:lang w:eastAsia="en-GB"/>
        </w:rPr>
        <w:t>Chair of Trustees</w:t>
      </w:r>
      <w:r w:rsidRPr="00C75C1A">
        <w:rPr>
          <w:rFonts w:ascii="Arial" w:hAnsi="Arial" w:cs="Arial"/>
          <w:lang w:eastAsia="en-GB"/>
        </w:rPr>
        <w:t>. The aim of this policy</w:t>
      </w:r>
      <w:r w:rsidR="007618C8" w:rsidRPr="00C75C1A">
        <w:rPr>
          <w:rFonts w:ascii="Arial" w:hAnsi="Arial" w:cs="Arial"/>
          <w:lang w:eastAsia="en-GB"/>
        </w:rPr>
        <w:t xml:space="preserve"> and procedure</w:t>
      </w:r>
      <w:r w:rsidRPr="00C75C1A">
        <w:rPr>
          <w:rFonts w:ascii="Arial" w:hAnsi="Arial" w:cs="Arial"/>
          <w:lang w:eastAsia="en-GB"/>
        </w:rPr>
        <w:t xml:space="preserve"> is to provide an internal mechanism for reporting, investigating and r</w:t>
      </w:r>
      <w:r w:rsidR="00E64702" w:rsidRPr="00C75C1A">
        <w:rPr>
          <w:rFonts w:ascii="Arial" w:hAnsi="Arial" w:cs="Arial"/>
          <w:lang w:eastAsia="en-GB"/>
        </w:rPr>
        <w:t xml:space="preserve">emedying any wrongdoing in the </w:t>
      </w:r>
      <w:r w:rsidR="00FC6199" w:rsidRPr="00C75C1A">
        <w:rPr>
          <w:rFonts w:ascii="Arial" w:hAnsi="Arial" w:cs="Arial"/>
          <w:lang w:eastAsia="en-GB"/>
        </w:rPr>
        <w:t>UTC</w:t>
      </w:r>
      <w:r w:rsidRPr="00C75C1A">
        <w:rPr>
          <w:rFonts w:ascii="Arial" w:hAnsi="Arial" w:cs="Arial"/>
          <w:lang w:eastAsia="en-GB"/>
        </w:rPr>
        <w:t>. In most cases employees should not find it necessary to alert anyone externally and employees are strongly advised to seek advice before re</w:t>
      </w:r>
      <w:r w:rsidR="00E64702" w:rsidRPr="00C75C1A">
        <w:rPr>
          <w:rFonts w:ascii="Arial" w:hAnsi="Arial" w:cs="Arial"/>
          <w:lang w:eastAsia="en-GB"/>
        </w:rPr>
        <w:t xml:space="preserve">porting a concern in this way. </w:t>
      </w:r>
      <w:r w:rsidRPr="00C75C1A">
        <w:rPr>
          <w:rFonts w:ascii="Arial" w:hAnsi="Arial" w:cs="Arial"/>
          <w:lang w:eastAsia="en-GB"/>
        </w:rPr>
        <w:t>Employees who feel unable to follow this route, for whatever reason, have the option of contacting one of the following:</w:t>
      </w:r>
    </w:p>
    <w:p w:rsidR="00C164F2" w:rsidRPr="00FC6199" w:rsidRDefault="00C164F2" w:rsidP="00C75C1A">
      <w:pPr>
        <w:spacing w:after="0" w:line="264" w:lineRule="auto"/>
        <w:rPr>
          <w:rFonts w:ascii="Arial" w:hAnsi="Arial" w:cs="Arial"/>
          <w:lang w:eastAsia="en-GB"/>
        </w:rPr>
      </w:pP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HM Revenue and Customs</w:t>
      </w: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The Financial Services Authority</w:t>
      </w: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The Health and Safety Executive</w:t>
      </w: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The Environment Agency</w:t>
      </w: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The Director of Public Prosecutions</w:t>
      </w: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The Serious Fraud Office</w:t>
      </w:r>
    </w:p>
    <w:p w:rsidR="00C164F2" w:rsidRPr="00C75C1A" w:rsidRDefault="00C164F2" w:rsidP="00C75C1A">
      <w:pPr>
        <w:pStyle w:val="ListParagraph"/>
        <w:numPr>
          <w:ilvl w:val="0"/>
          <w:numId w:val="28"/>
        </w:numPr>
        <w:spacing w:after="0" w:line="264" w:lineRule="auto"/>
        <w:rPr>
          <w:rFonts w:ascii="Arial" w:hAnsi="Arial" w:cs="Arial"/>
          <w:lang w:eastAsia="en-GB"/>
        </w:rPr>
      </w:pPr>
      <w:r w:rsidRPr="00C75C1A">
        <w:rPr>
          <w:rFonts w:ascii="Arial" w:hAnsi="Arial" w:cs="Arial"/>
          <w:lang w:eastAsia="en-GB"/>
        </w:rPr>
        <w:t>The Department for Education</w:t>
      </w:r>
    </w:p>
    <w:p w:rsidR="00C164F2" w:rsidRPr="00FC6199" w:rsidRDefault="00C164F2" w:rsidP="00C75C1A">
      <w:pPr>
        <w:spacing w:after="0" w:line="264" w:lineRule="auto"/>
        <w:rPr>
          <w:rFonts w:ascii="Arial" w:hAnsi="Arial" w:cs="Arial"/>
          <w:lang w:eastAsia="en-GB"/>
        </w:rPr>
      </w:pPr>
    </w:p>
    <w:p w:rsidR="00C164F2" w:rsidRPr="00FC6199" w:rsidRDefault="00C164F2" w:rsidP="00C75C1A">
      <w:pPr>
        <w:spacing w:after="0" w:line="264" w:lineRule="auto"/>
        <w:rPr>
          <w:rFonts w:ascii="Arial" w:hAnsi="Arial" w:cs="Arial"/>
          <w:b/>
          <w:lang w:eastAsia="en-GB"/>
        </w:rPr>
      </w:pPr>
      <w:r w:rsidRPr="00FC6199">
        <w:rPr>
          <w:rFonts w:ascii="Arial" w:hAnsi="Arial" w:cs="Arial"/>
          <w:b/>
          <w:lang w:eastAsia="en-GB"/>
        </w:rPr>
        <w:t>What should be done if an issue is raised with a member of staff?</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I</w:t>
      </w:r>
      <w:r w:rsidR="00C164F2" w:rsidRPr="00C75C1A">
        <w:rPr>
          <w:rFonts w:ascii="Arial" w:hAnsi="Arial" w:cs="Arial"/>
          <w:lang w:eastAsia="en-GB"/>
        </w:rPr>
        <w:t>f a m</w:t>
      </w:r>
      <w:r w:rsidR="00E64702" w:rsidRPr="00C75C1A">
        <w:rPr>
          <w:rFonts w:ascii="Arial" w:hAnsi="Arial" w:cs="Arial"/>
          <w:lang w:eastAsia="en-GB"/>
        </w:rPr>
        <w:t xml:space="preserve">ember of staff, other than the </w:t>
      </w:r>
      <w:r w:rsidR="00FC6199" w:rsidRPr="00C75C1A">
        <w:rPr>
          <w:rFonts w:ascii="Arial" w:hAnsi="Arial" w:cs="Arial"/>
          <w:lang w:eastAsia="en-GB"/>
        </w:rPr>
        <w:t>Principal</w:t>
      </w:r>
      <w:r w:rsidR="00C164F2" w:rsidRPr="00C75C1A">
        <w:rPr>
          <w:rFonts w:ascii="Arial" w:hAnsi="Arial" w:cs="Arial"/>
          <w:lang w:eastAsia="en-GB"/>
        </w:rPr>
        <w:t>, is approached by a colleague on a matter of concern as defined in this document, h</w:t>
      </w:r>
      <w:r w:rsidR="004215CB">
        <w:rPr>
          <w:rFonts w:ascii="Arial" w:hAnsi="Arial" w:cs="Arial"/>
          <w:lang w:eastAsia="en-GB"/>
        </w:rPr>
        <w:t>e</w:t>
      </w:r>
      <w:r w:rsidR="00C164F2" w:rsidRPr="00C75C1A">
        <w:rPr>
          <w:rFonts w:ascii="Arial" w:hAnsi="Arial" w:cs="Arial"/>
          <w:lang w:eastAsia="en-GB"/>
        </w:rPr>
        <w:t>/she is adv</w:t>
      </w:r>
      <w:r w:rsidR="00E64702" w:rsidRPr="00C75C1A">
        <w:rPr>
          <w:rFonts w:ascii="Arial" w:hAnsi="Arial" w:cs="Arial"/>
          <w:lang w:eastAsia="en-GB"/>
        </w:rPr>
        <w:t xml:space="preserve">ised to take the matter to the </w:t>
      </w:r>
      <w:r w:rsidR="00FC6199" w:rsidRPr="00C75C1A">
        <w:rPr>
          <w:rFonts w:ascii="Arial" w:hAnsi="Arial" w:cs="Arial"/>
          <w:lang w:eastAsia="en-GB"/>
        </w:rPr>
        <w:t>Principal</w:t>
      </w:r>
      <w:r w:rsidR="00C164F2" w:rsidRPr="00C75C1A">
        <w:rPr>
          <w:rFonts w:ascii="Arial" w:hAnsi="Arial" w:cs="Arial"/>
          <w:lang w:eastAsia="en-GB"/>
        </w:rPr>
        <w:t xml:space="preserve"> </w:t>
      </w:r>
      <w:r w:rsidR="002C00A8" w:rsidRPr="00C75C1A">
        <w:rPr>
          <w:rFonts w:ascii="Arial" w:hAnsi="Arial" w:cs="Arial"/>
          <w:lang w:eastAsia="en-GB"/>
        </w:rPr>
        <w:t xml:space="preserve">unless it is about the Principal in which case the Chair of Trustees should be informed. </w:t>
      </w:r>
    </w:p>
    <w:p w:rsidR="00C164F2" w:rsidRPr="00FC6199" w:rsidRDefault="00C164F2" w:rsidP="00C75C1A">
      <w:pPr>
        <w:spacing w:after="0" w:line="264" w:lineRule="auto"/>
        <w:rPr>
          <w:rFonts w:ascii="Arial" w:hAnsi="Arial" w:cs="Arial"/>
          <w:lang w:eastAsia="en-GB"/>
        </w:rPr>
      </w:pPr>
    </w:p>
    <w:p w:rsidR="00C164F2" w:rsidRPr="00C75C1A" w:rsidRDefault="00C164F2" w:rsidP="00C75C1A">
      <w:pPr>
        <w:spacing w:after="0" w:line="264" w:lineRule="auto"/>
        <w:rPr>
          <w:rFonts w:ascii="Arial" w:hAnsi="Arial" w:cs="Arial"/>
          <w:b/>
          <w:lang w:eastAsia="en-GB"/>
        </w:rPr>
      </w:pPr>
      <w:r w:rsidRPr="00C75C1A">
        <w:rPr>
          <w:rFonts w:ascii="Arial" w:hAnsi="Arial" w:cs="Arial"/>
          <w:b/>
          <w:lang w:eastAsia="en-GB"/>
        </w:rPr>
        <w:t xml:space="preserve">Safeguarding </w:t>
      </w:r>
      <w:r w:rsidR="00E64702" w:rsidRPr="00C75C1A">
        <w:rPr>
          <w:rFonts w:ascii="Arial" w:hAnsi="Arial" w:cs="Arial"/>
          <w:b/>
          <w:lang w:eastAsia="en-GB"/>
        </w:rPr>
        <w:t>children and young people</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S</w:t>
      </w:r>
      <w:r w:rsidR="00C164F2" w:rsidRPr="00C75C1A">
        <w:rPr>
          <w:rFonts w:ascii="Arial" w:hAnsi="Arial" w:cs="Arial"/>
          <w:lang w:eastAsia="en-GB"/>
        </w:rPr>
        <w:t>eparate to the obligations under this policy, all employees have a duty to report concerns about the safety</w:t>
      </w:r>
      <w:r w:rsidR="00E64702" w:rsidRPr="00C75C1A">
        <w:rPr>
          <w:rFonts w:ascii="Arial" w:hAnsi="Arial" w:cs="Arial"/>
          <w:lang w:eastAsia="en-GB"/>
        </w:rPr>
        <w:t xml:space="preserve"> and welfare of students</w:t>
      </w:r>
      <w:r w:rsidR="007C66D9" w:rsidRPr="00C75C1A">
        <w:rPr>
          <w:rFonts w:ascii="Arial" w:hAnsi="Arial" w:cs="Arial"/>
          <w:lang w:eastAsia="en-GB"/>
        </w:rPr>
        <w:t>.</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C</w:t>
      </w:r>
      <w:r w:rsidR="00C164F2" w:rsidRPr="00C75C1A">
        <w:rPr>
          <w:rFonts w:ascii="Arial" w:hAnsi="Arial" w:cs="Arial"/>
          <w:lang w:eastAsia="en-GB"/>
        </w:rPr>
        <w:t xml:space="preserve">oncerns about any of the following should be reported to the </w:t>
      </w:r>
      <w:r w:rsidR="00FC6199" w:rsidRPr="00C75C1A">
        <w:rPr>
          <w:rFonts w:ascii="Arial" w:hAnsi="Arial" w:cs="Arial"/>
          <w:lang w:eastAsia="en-GB"/>
        </w:rPr>
        <w:t>UTC</w:t>
      </w:r>
      <w:r w:rsidR="00D10D3D" w:rsidRPr="00C75C1A">
        <w:rPr>
          <w:rFonts w:ascii="Arial" w:hAnsi="Arial" w:cs="Arial"/>
          <w:lang w:eastAsia="en-GB"/>
        </w:rPr>
        <w:t xml:space="preserve">’s Designated </w:t>
      </w:r>
      <w:r w:rsidRPr="00C75C1A">
        <w:rPr>
          <w:rFonts w:ascii="Arial" w:hAnsi="Arial" w:cs="Arial"/>
          <w:lang w:eastAsia="en-GB"/>
        </w:rPr>
        <w:t>Safeguarding</w:t>
      </w:r>
      <w:r w:rsidR="00E64702" w:rsidRPr="00C75C1A">
        <w:rPr>
          <w:rFonts w:ascii="Arial" w:hAnsi="Arial" w:cs="Arial"/>
          <w:lang w:eastAsia="en-GB"/>
        </w:rPr>
        <w:t xml:space="preserve"> </w:t>
      </w:r>
      <w:r w:rsidR="00D10D3D" w:rsidRPr="00C75C1A">
        <w:rPr>
          <w:rFonts w:ascii="Arial" w:hAnsi="Arial" w:cs="Arial"/>
          <w:lang w:eastAsia="en-GB"/>
        </w:rPr>
        <w:t>Lead</w:t>
      </w:r>
      <w:r w:rsidR="00C164F2" w:rsidRPr="00C75C1A">
        <w:rPr>
          <w:rFonts w:ascii="Arial" w:hAnsi="Arial" w:cs="Arial"/>
          <w:lang w:eastAsia="en-GB"/>
        </w:rPr>
        <w:t xml:space="preserve"> (DS</w:t>
      </w:r>
      <w:r w:rsidR="00D10D3D" w:rsidRPr="00C75C1A">
        <w:rPr>
          <w:rFonts w:ascii="Arial" w:hAnsi="Arial" w:cs="Arial"/>
          <w:lang w:eastAsia="en-GB"/>
        </w:rPr>
        <w:t>L</w:t>
      </w:r>
      <w:r w:rsidR="00C164F2" w:rsidRPr="00C75C1A">
        <w:rPr>
          <w:rFonts w:ascii="Arial" w:hAnsi="Arial" w:cs="Arial"/>
          <w:lang w:eastAsia="en-GB"/>
        </w:rPr>
        <w:t>):</w:t>
      </w:r>
    </w:p>
    <w:p w:rsidR="00C164F2" w:rsidRPr="00FC6199" w:rsidRDefault="00C164F2" w:rsidP="00C75C1A">
      <w:pPr>
        <w:spacing w:after="0" w:line="264" w:lineRule="auto"/>
        <w:rPr>
          <w:rFonts w:ascii="Arial" w:hAnsi="Arial" w:cs="Arial"/>
          <w:lang w:eastAsia="en-GB"/>
        </w:rPr>
      </w:pPr>
    </w:p>
    <w:p w:rsidR="00C164F2" w:rsidRPr="00C75C1A" w:rsidRDefault="00C164F2" w:rsidP="00C75C1A">
      <w:pPr>
        <w:pStyle w:val="ListParagraph"/>
        <w:numPr>
          <w:ilvl w:val="0"/>
          <w:numId w:val="33"/>
        </w:numPr>
        <w:spacing w:after="0" w:line="264" w:lineRule="auto"/>
        <w:rPr>
          <w:rFonts w:ascii="Arial" w:hAnsi="Arial" w:cs="Arial"/>
          <w:lang w:eastAsia="en-GB"/>
        </w:rPr>
      </w:pPr>
      <w:r w:rsidRPr="00C75C1A">
        <w:rPr>
          <w:rFonts w:ascii="Arial" w:hAnsi="Arial" w:cs="Arial"/>
          <w:lang w:eastAsia="en-GB"/>
        </w:rPr>
        <w:t>physical abuse of a pupil/student</w:t>
      </w:r>
    </w:p>
    <w:p w:rsidR="00C164F2" w:rsidRPr="00C75C1A" w:rsidRDefault="00C164F2" w:rsidP="00C75C1A">
      <w:pPr>
        <w:pStyle w:val="ListParagraph"/>
        <w:numPr>
          <w:ilvl w:val="0"/>
          <w:numId w:val="33"/>
        </w:numPr>
        <w:spacing w:after="0" w:line="264" w:lineRule="auto"/>
        <w:rPr>
          <w:rFonts w:ascii="Arial" w:hAnsi="Arial" w:cs="Arial"/>
          <w:lang w:eastAsia="en-GB"/>
        </w:rPr>
      </w:pPr>
      <w:r w:rsidRPr="00C75C1A">
        <w:rPr>
          <w:rFonts w:ascii="Arial" w:hAnsi="Arial" w:cs="Arial"/>
          <w:lang w:eastAsia="en-GB"/>
        </w:rPr>
        <w:t>sexual abuse of a pupil/student</w:t>
      </w:r>
    </w:p>
    <w:p w:rsidR="00C164F2" w:rsidRPr="00C75C1A" w:rsidRDefault="00C164F2" w:rsidP="00C75C1A">
      <w:pPr>
        <w:pStyle w:val="ListParagraph"/>
        <w:numPr>
          <w:ilvl w:val="0"/>
          <w:numId w:val="33"/>
        </w:numPr>
        <w:spacing w:after="0" w:line="264" w:lineRule="auto"/>
        <w:rPr>
          <w:rFonts w:ascii="Arial" w:hAnsi="Arial" w:cs="Arial"/>
          <w:lang w:eastAsia="en-GB"/>
        </w:rPr>
      </w:pPr>
      <w:r w:rsidRPr="00C75C1A">
        <w:rPr>
          <w:rFonts w:ascii="Arial" w:hAnsi="Arial" w:cs="Arial"/>
          <w:lang w:eastAsia="en-GB"/>
        </w:rPr>
        <w:t>emotional abuse of a pupil/student</w:t>
      </w:r>
    </w:p>
    <w:p w:rsidR="00C164F2" w:rsidRPr="00C75C1A" w:rsidRDefault="00C164F2" w:rsidP="00C75C1A">
      <w:pPr>
        <w:pStyle w:val="ListParagraph"/>
        <w:numPr>
          <w:ilvl w:val="0"/>
          <w:numId w:val="33"/>
        </w:numPr>
        <w:spacing w:after="0" w:line="264" w:lineRule="auto"/>
        <w:rPr>
          <w:rFonts w:ascii="Arial" w:hAnsi="Arial" w:cs="Arial"/>
          <w:lang w:eastAsia="en-GB"/>
        </w:rPr>
      </w:pPr>
      <w:r w:rsidRPr="00C75C1A">
        <w:rPr>
          <w:rFonts w:ascii="Arial" w:hAnsi="Arial" w:cs="Arial"/>
          <w:lang w:eastAsia="en-GB"/>
        </w:rPr>
        <w:t>neglect of a pupil/student</w:t>
      </w:r>
    </w:p>
    <w:p w:rsidR="00C164F2" w:rsidRPr="00C75C1A" w:rsidRDefault="00C164F2" w:rsidP="00C75C1A">
      <w:pPr>
        <w:pStyle w:val="ListParagraph"/>
        <w:numPr>
          <w:ilvl w:val="0"/>
          <w:numId w:val="33"/>
        </w:numPr>
        <w:spacing w:after="0" w:line="264" w:lineRule="auto"/>
        <w:rPr>
          <w:rFonts w:ascii="Arial" w:hAnsi="Arial" w:cs="Arial"/>
          <w:lang w:eastAsia="en-GB"/>
        </w:rPr>
      </w:pPr>
      <w:r w:rsidRPr="00C75C1A">
        <w:rPr>
          <w:rFonts w:ascii="Arial" w:hAnsi="Arial" w:cs="Arial"/>
          <w:lang w:eastAsia="en-GB"/>
        </w:rPr>
        <w:t>an intimate or improper relationship between an adult and a pupil/student</w:t>
      </w:r>
    </w:p>
    <w:p w:rsidR="00C164F2" w:rsidRPr="00FC6199" w:rsidRDefault="00C164F2" w:rsidP="00C75C1A">
      <w:pPr>
        <w:spacing w:after="0" w:line="264" w:lineRule="auto"/>
        <w:rPr>
          <w:rFonts w:ascii="Arial" w:hAnsi="Arial" w:cs="Arial"/>
          <w:lang w:eastAsia="en-GB"/>
        </w:rPr>
      </w:pPr>
    </w:p>
    <w:p w:rsidR="00C164F2" w:rsidRPr="00C75C1A" w:rsidRDefault="0003067E"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T</w:t>
      </w:r>
      <w:r w:rsidR="00C164F2" w:rsidRPr="00C75C1A">
        <w:rPr>
          <w:rFonts w:ascii="Arial" w:hAnsi="Arial" w:cs="Arial"/>
          <w:lang w:eastAsia="en-GB"/>
        </w:rPr>
        <w:t>he reason for the concern may be the actions of a colleague (includi</w:t>
      </w:r>
      <w:r w:rsidR="00E64702" w:rsidRPr="00C75C1A">
        <w:rPr>
          <w:rFonts w:ascii="Arial" w:hAnsi="Arial" w:cs="Arial"/>
          <w:lang w:eastAsia="en-GB"/>
        </w:rPr>
        <w:t xml:space="preserve">ng a more senior colleague), a </w:t>
      </w:r>
      <w:r w:rsidR="00FC6199" w:rsidRPr="00C75C1A">
        <w:rPr>
          <w:rFonts w:ascii="Arial" w:hAnsi="Arial" w:cs="Arial"/>
          <w:lang w:eastAsia="en-GB"/>
        </w:rPr>
        <w:t>Trustee</w:t>
      </w:r>
      <w:r w:rsidR="00C164F2" w:rsidRPr="00C75C1A">
        <w:rPr>
          <w:rFonts w:ascii="Arial" w:hAnsi="Arial" w:cs="Arial"/>
          <w:lang w:eastAsia="en-GB"/>
        </w:rPr>
        <w:t xml:space="preserve">, another </w:t>
      </w:r>
      <w:r w:rsidR="00E64702" w:rsidRPr="00C75C1A">
        <w:rPr>
          <w:rFonts w:ascii="Arial" w:hAnsi="Arial" w:cs="Arial"/>
          <w:lang w:eastAsia="en-GB"/>
        </w:rPr>
        <w:t xml:space="preserve">student or someone outside the </w:t>
      </w:r>
      <w:r w:rsidR="00FC6199" w:rsidRPr="00C75C1A">
        <w:rPr>
          <w:rFonts w:ascii="Arial" w:hAnsi="Arial" w:cs="Arial"/>
          <w:lang w:eastAsia="en-GB"/>
        </w:rPr>
        <w:t>UTC</w:t>
      </w:r>
      <w:r w:rsidR="00E64702" w:rsidRPr="00C75C1A">
        <w:rPr>
          <w:rFonts w:ascii="Arial" w:hAnsi="Arial" w:cs="Arial"/>
          <w:lang w:eastAsia="en-GB"/>
        </w:rPr>
        <w:t xml:space="preserve">. </w:t>
      </w:r>
      <w:r w:rsidR="00C164F2" w:rsidRPr="00C75C1A">
        <w:rPr>
          <w:rFonts w:ascii="Arial" w:hAnsi="Arial" w:cs="Arial"/>
          <w:lang w:eastAsia="en-GB"/>
        </w:rPr>
        <w:t xml:space="preserve">Whatever the reason, concerns must be reported. Failure to report a </w:t>
      </w:r>
      <w:r w:rsidRPr="00C75C1A">
        <w:rPr>
          <w:rFonts w:ascii="Arial" w:hAnsi="Arial" w:cs="Arial"/>
          <w:lang w:eastAsia="en-GB"/>
        </w:rPr>
        <w:t>Safeguarding</w:t>
      </w:r>
      <w:r w:rsidR="00C164F2" w:rsidRPr="00C75C1A">
        <w:rPr>
          <w:rFonts w:ascii="Arial" w:hAnsi="Arial" w:cs="Arial"/>
          <w:lang w:eastAsia="en-GB"/>
        </w:rPr>
        <w:t xml:space="preserve"> related allegation will be in itself, a disciplinary matter.</w:t>
      </w:r>
      <w:r w:rsidR="00D10D3D" w:rsidRPr="00C75C1A">
        <w:rPr>
          <w:rFonts w:ascii="Arial" w:hAnsi="Arial" w:cs="Arial"/>
          <w:lang w:eastAsia="en-GB"/>
        </w:rPr>
        <w:t xml:space="preserve">  Concerns about the Principal can be directed to </w:t>
      </w:r>
      <w:r w:rsidR="002C00A8" w:rsidRPr="00C75C1A">
        <w:rPr>
          <w:rFonts w:ascii="Arial" w:hAnsi="Arial" w:cs="Arial"/>
          <w:lang w:eastAsia="en-GB"/>
        </w:rPr>
        <w:t xml:space="preserve">the Chair of Trustees or the </w:t>
      </w:r>
      <w:r w:rsidR="00D10D3D" w:rsidRPr="00C75C1A">
        <w:rPr>
          <w:rFonts w:ascii="Arial" w:hAnsi="Arial" w:cs="Arial"/>
          <w:lang w:eastAsia="en-GB"/>
        </w:rPr>
        <w:t>Durham LA</w:t>
      </w:r>
      <w:r w:rsidR="002C00A8" w:rsidRPr="00C75C1A">
        <w:rPr>
          <w:rFonts w:ascii="Arial" w:hAnsi="Arial" w:cs="Arial"/>
          <w:lang w:eastAsia="en-GB"/>
        </w:rPr>
        <w:t>DO.</w:t>
      </w:r>
    </w:p>
    <w:p w:rsidR="002C00A8" w:rsidRDefault="002C00A8" w:rsidP="00C75C1A">
      <w:pPr>
        <w:spacing w:after="0" w:line="264" w:lineRule="auto"/>
        <w:rPr>
          <w:rFonts w:ascii="Arial" w:hAnsi="Arial" w:cs="Arial"/>
          <w:b/>
          <w:lang w:eastAsia="en-GB"/>
        </w:rPr>
      </w:pPr>
    </w:p>
    <w:p w:rsidR="002C00A8" w:rsidRPr="00C75C1A" w:rsidRDefault="002C00A8" w:rsidP="00C75C1A">
      <w:pPr>
        <w:spacing w:after="0" w:line="264" w:lineRule="auto"/>
        <w:rPr>
          <w:rFonts w:ascii="Arial" w:hAnsi="Arial" w:cs="Arial"/>
          <w:b/>
          <w:lang w:eastAsia="en-GB"/>
        </w:rPr>
      </w:pPr>
      <w:r w:rsidRPr="00C75C1A">
        <w:rPr>
          <w:rFonts w:ascii="Arial" w:hAnsi="Arial" w:cs="Arial"/>
          <w:b/>
          <w:lang w:eastAsia="en-GB"/>
        </w:rPr>
        <w:t>Legal note</w:t>
      </w:r>
    </w:p>
    <w:p w:rsidR="002C00A8" w:rsidRPr="00FC6199" w:rsidRDefault="002C00A8" w:rsidP="00C75C1A">
      <w:pPr>
        <w:spacing w:after="0" w:line="264" w:lineRule="auto"/>
        <w:rPr>
          <w:rFonts w:ascii="Arial" w:hAnsi="Arial" w:cs="Arial"/>
          <w:lang w:eastAsia="en-GB"/>
        </w:rPr>
      </w:pPr>
    </w:p>
    <w:p w:rsidR="00292411" w:rsidRPr="00C75C1A" w:rsidRDefault="00C164F2" w:rsidP="00C75C1A">
      <w:pPr>
        <w:pStyle w:val="ListParagraph"/>
        <w:numPr>
          <w:ilvl w:val="0"/>
          <w:numId w:val="30"/>
        </w:numPr>
        <w:spacing w:after="0" w:line="264" w:lineRule="auto"/>
        <w:rPr>
          <w:rFonts w:ascii="Arial" w:hAnsi="Arial" w:cs="Arial"/>
          <w:lang w:eastAsia="en-GB"/>
        </w:rPr>
      </w:pPr>
      <w:r w:rsidRPr="00C75C1A">
        <w:rPr>
          <w:rFonts w:ascii="Arial" w:hAnsi="Arial" w:cs="Arial"/>
          <w:lang w:eastAsia="en-GB"/>
        </w:rPr>
        <w:t>The legislation protecting individuals who makes a protected disclosure applies not only to employees, but also to any person who undertakes to do or perform personally (or otherwise) any work or service for the employer, regardless of the nature of the contrac</w:t>
      </w:r>
      <w:r w:rsidR="008E4A8C" w:rsidRPr="00C75C1A">
        <w:rPr>
          <w:rFonts w:ascii="Arial" w:hAnsi="Arial" w:cs="Arial"/>
          <w:lang w:eastAsia="en-GB"/>
        </w:rPr>
        <w:t xml:space="preserve">tual relationship between them.  </w:t>
      </w:r>
      <w:r w:rsidRPr="00C75C1A">
        <w:rPr>
          <w:rFonts w:ascii="Arial" w:hAnsi="Arial" w:cs="Arial"/>
          <w:lang w:eastAsia="en-GB"/>
        </w:rPr>
        <w:t xml:space="preserve">Section 43J of the Employment Rights Act 1996 provides that a </w:t>
      </w:r>
      <w:r w:rsidR="00E64702" w:rsidRPr="00C75C1A">
        <w:rPr>
          <w:rFonts w:ascii="Arial" w:hAnsi="Arial" w:cs="Arial"/>
          <w:lang w:eastAsia="en-GB"/>
        </w:rPr>
        <w:t>settlement agreement</w:t>
      </w:r>
      <w:r w:rsidRPr="00C75C1A">
        <w:rPr>
          <w:rFonts w:ascii="Arial" w:hAnsi="Arial" w:cs="Arial"/>
          <w:lang w:eastAsia="en-GB"/>
        </w:rPr>
        <w:t xml:space="preserve"> made between an employee and employer cannot prevent future protected disclosures.</w:t>
      </w:r>
      <w:r w:rsidR="008E4A8C" w:rsidRPr="00C75C1A">
        <w:rPr>
          <w:rFonts w:ascii="Arial" w:hAnsi="Arial" w:cs="Arial"/>
          <w:lang w:eastAsia="en-GB"/>
        </w:rPr>
        <w:t xml:space="preserve">  </w:t>
      </w:r>
      <w:r w:rsidRPr="00C75C1A">
        <w:rPr>
          <w:rFonts w:ascii="Arial" w:hAnsi="Arial" w:cs="Arial"/>
          <w:lang w:eastAsia="en-GB"/>
        </w:rPr>
        <w:t>Any confidentiality obligations in contracts of employment that would prevent an employee making a protected disclosure will be void.</w:t>
      </w:r>
    </w:p>
    <w:sectPr w:rsidR="00292411" w:rsidRPr="00C75C1A" w:rsidSect="00D10D3D">
      <w:footerReference w:type="default" r:id="rId13"/>
      <w:pgSz w:w="11906" w:h="16838"/>
      <w:pgMar w:top="1134" w:right="849" w:bottom="993" w:left="993" w:header="28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000" w:rsidRDefault="00E92000" w:rsidP="00EA664C">
      <w:pPr>
        <w:spacing w:after="0" w:line="240" w:lineRule="auto"/>
      </w:pPr>
      <w:r>
        <w:separator/>
      </w:r>
    </w:p>
  </w:endnote>
  <w:endnote w:type="continuationSeparator" w:id="0">
    <w:p w:rsidR="00E92000" w:rsidRDefault="00E92000" w:rsidP="00EA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199" w:rsidRPr="0003067E" w:rsidRDefault="00FC6199">
    <w:pPr>
      <w:pStyle w:val="Footer"/>
      <w:jc w:val="right"/>
      <w:rPr>
        <w:rFonts w:ascii="Arial" w:hAnsi="Arial" w:cs="Arial"/>
        <w:sz w:val="20"/>
        <w:szCs w:val="20"/>
      </w:rPr>
    </w:pPr>
    <w:r w:rsidRPr="0003067E">
      <w:rPr>
        <w:rFonts w:ascii="Arial" w:hAnsi="Arial" w:cs="Arial"/>
        <w:sz w:val="20"/>
        <w:szCs w:val="20"/>
      </w:rPr>
      <w:fldChar w:fldCharType="begin"/>
    </w:r>
    <w:r w:rsidRPr="0003067E">
      <w:rPr>
        <w:rFonts w:ascii="Arial" w:hAnsi="Arial" w:cs="Arial"/>
        <w:sz w:val="20"/>
        <w:szCs w:val="20"/>
      </w:rPr>
      <w:instrText xml:space="preserve"> PAGE   \* MERGEFORMAT </w:instrText>
    </w:r>
    <w:r w:rsidRPr="0003067E">
      <w:rPr>
        <w:rFonts w:ascii="Arial" w:hAnsi="Arial" w:cs="Arial"/>
        <w:sz w:val="20"/>
        <w:szCs w:val="20"/>
      </w:rPr>
      <w:fldChar w:fldCharType="separate"/>
    </w:r>
    <w:r w:rsidR="00DD27E4">
      <w:rPr>
        <w:rFonts w:ascii="Arial" w:hAnsi="Arial" w:cs="Arial"/>
        <w:noProof/>
        <w:sz w:val="20"/>
        <w:szCs w:val="20"/>
      </w:rPr>
      <w:t>2</w:t>
    </w:r>
    <w:r w:rsidRPr="0003067E">
      <w:rPr>
        <w:rFonts w:ascii="Arial" w:hAnsi="Arial" w:cs="Arial"/>
        <w:noProof/>
        <w:sz w:val="20"/>
        <w:szCs w:val="20"/>
      </w:rPr>
      <w:fldChar w:fldCharType="end"/>
    </w:r>
  </w:p>
  <w:p w:rsidR="00F969BD" w:rsidRPr="0003067E" w:rsidRDefault="0003067E" w:rsidP="00FC6199">
    <w:pPr>
      <w:pStyle w:val="Footer"/>
      <w:rPr>
        <w:rFonts w:ascii="Arial" w:hAnsi="Arial" w:cs="Arial"/>
        <w:sz w:val="20"/>
        <w:szCs w:val="20"/>
      </w:rPr>
    </w:pPr>
    <w:r w:rsidRPr="0003067E">
      <w:rPr>
        <w:rFonts w:ascii="Arial" w:hAnsi="Arial" w:cs="Arial"/>
        <w:sz w:val="20"/>
        <w:szCs w:val="20"/>
      </w:rPr>
      <w:t>UTC South Durham Whistleblowing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000" w:rsidRDefault="00E92000" w:rsidP="00EA664C">
      <w:pPr>
        <w:spacing w:after="0" w:line="240" w:lineRule="auto"/>
      </w:pPr>
      <w:r>
        <w:separator/>
      </w:r>
    </w:p>
  </w:footnote>
  <w:footnote w:type="continuationSeparator" w:id="0">
    <w:p w:rsidR="00E92000" w:rsidRDefault="00E92000" w:rsidP="00EA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D4E"/>
    <w:multiLevelType w:val="hybridMultilevel"/>
    <w:tmpl w:val="F90AB9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A43E5"/>
    <w:multiLevelType w:val="hybridMultilevel"/>
    <w:tmpl w:val="D772B140"/>
    <w:lvl w:ilvl="0" w:tplc="4DC0106A">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06F8D"/>
    <w:multiLevelType w:val="hybridMultilevel"/>
    <w:tmpl w:val="9326B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07A65"/>
    <w:multiLevelType w:val="hybridMultilevel"/>
    <w:tmpl w:val="32D22872"/>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3A4272"/>
    <w:multiLevelType w:val="hybridMultilevel"/>
    <w:tmpl w:val="9D8EDA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579BD"/>
    <w:multiLevelType w:val="hybridMultilevel"/>
    <w:tmpl w:val="6BAE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742F0"/>
    <w:multiLevelType w:val="hybridMultilevel"/>
    <w:tmpl w:val="84C872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F4315"/>
    <w:multiLevelType w:val="hybridMultilevel"/>
    <w:tmpl w:val="59244B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90660"/>
    <w:multiLevelType w:val="hybridMultilevel"/>
    <w:tmpl w:val="8CE47C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15EC0"/>
    <w:multiLevelType w:val="hybridMultilevel"/>
    <w:tmpl w:val="918649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2F1D57"/>
    <w:multiLevelType w:val="hybridMultilevel"/>
    <w:tmpl w:val="B26438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240FE"/>
    <w:multiLevelType w:val="hybridMultilevel"/>
    <w:tmpl w:val="2BCA6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D660AA"/>
    <w:multiLevelType w:val="hybridMultilevel"/>
    <w:tmpl w:val="B992A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B0E88"/>
    <w:multiLevelType w:val="hybridMultilevel"/>
    <w:tmpl w:val="5B48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8475D"/>
    <w:multiLevelType w:val="hybridMultilevel"/>
    <w:tmpl w:val="DCE4B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E26FED"/>
    <w:multiLevelType w:val="hybridMultilevel"/>
    <w:tmpl w:val="2A38F39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24F10EB"/>
    <w:multiLevelType w:val="hybridMultilevel"/>
    <w:tmpl w:val="98A2EF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103D9"/>
    <w:multiLevelType w:val="hybridMultilevel"/>
    <w:tmpl w:val="A80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A732D"/>
    <w:multiLevelType w:val="hybridMultilevel"/>
    <w:tmpl w:val="C9F09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C7726"/>
    <w:multiLevelType w:val="hybridMultilevel"/>
    <w:tmpl w:val="5F0004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B490E"/>
    <w:multiLevelType w:val="hybridMultilevel"/>
    <w:tmpl w:val="D8F4AE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ED42A5"/>
    <w:multiLevelType w:val="hybridMultilevel"/>
    <w:tmpl w:val="E66C5C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156C2"/>
    <w:multiLevelType w:val="hybridMultilevel"/>
    <w:tmpl w:val="5798DD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A2DBB"/>
    <w:multiLevelType w:val="hybridMultilevel"/>
    <w:tmpl w:val="24623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759C2"/>
    <w:multiLevelType w:val="hybridMultilevel"/>
    <w:tmpl w:val="787A83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57221"/>
    <w:multiLevelType w:val="singleLevel"/>
    <w:tmpl w:val="764EE7E4"/>
    <w:lvl w:ilvl="0">
      <w:start w:val="1"/>
      <w:numFmt w:val="bullet"/>
      <w:lvlText w:val=""/>
      <w:lvlJc w:val="left"/>
      <w:pPr>
        <w:tabs>
          <w:tab w:val="num" w:pos="360"/>
        </w:tabs>
        <w:ind w:left="360" w:hanging="360"/>
      </w:pPr>
      <w:rPr>
        <w:rFonts w:ascii="Symbol" w:hAnsi="Symbol" w:hint="default"/>
        <w:color w:val="auto"/>
      </w:rPr>
    </w:lvl>
  </w:abstractNum>
  <w:abstractNum w:abstractNumId="26" w15:restartNumberingAfterBreak="0">
    <w:nsid w:val="5F144A5A"/>
    <w:multiLevelType w:val="hybridMultilevel"/>
    <w:tmpl w:val="50A43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F2AD2"/>
    <w:multiLevelType w:val="hybridMultilevel"/>
    <w:tmpl w:val="DD942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BF3501"/>
    <w:multiLevelType w:val="hybridMultilevel"/>
    <w:tmpl w:val="F50C5E42"/>
    <w:lvl w:ilvl="0" w:tplc="0809000F">
      <w:start w:val="1"/>
      <w:numFmt w:val="decimal"/>
      <w:lvlText w:val="%1."/>
      <w:lvlJc w:val="left"/>
      <w:pPr>
        <w:ind w:left="9716" w:hanging="360"/>
      </w:pPr>
      <w:rPr>
        <w:rFonts w:hint="default"/>
      </w:rPr>
    </w:lvl>
    <w:lvl w:ilvl="1" w:tplc="08090019" w:tentative="1">
      <w:start w:val="1"/>
      <w:numFmt w:val="lowerLetter"/>
      <w:lvlText w:val="%2."/>
      <w:lvlJc w:val="left"/>
      <w:pPr>
        <w:ind w:left="10436" w:hanging="360"/>
      </w:pPr>
    </w:lvl>
    <w:lvl w:ilvl="2" w:tplc="0809001B" w:tentative="1">
      <w:start w:val="1"/>
      <w:numFmt w:val="lowerRoman"/>
      <w:lvlText w:val="%3."/>
      <w:lvlJc w:val="right"/>
      <w:pPr>
        <w:ind w:left="11156" w:hanging="180"/>
      </w:pPr>
    </w:lvl>
    <w:lvl w:ilvl="3" w:tplc="0809000F" w:tentative="1">
      <w:start w:val="1"/>
      <w:numFmt w:val="decimal"/>
      <w:lvlText w:val="%4."/>
      <w:lvlJc w:val="left"/>
      <w:pPr>
        <w:ind w:left="11876" w:hanging="360"/>
      </w:pPr>
    </w:lvl>
    <w:lvl w:ilvl="4" w:tplc="08090019" w:tentative="1">
      <w:start w:val="1"/>
      <w:numFmt w:val="lowerLetter"/>
      <w:lvlText w:val="%5."/>
      <w:lvlJc w:val="left"/>
      <w:pPr>
        <w:ind w:left="12596" w:hanging="360"/>
      </w:pPr>
    </w:lvl>
    <w:lvl w:ilvl="5" w:tplc="0809001B" w:tentative="1">
      <w:start w:val="1"/>
      <w:numFmt w:val="lowerRoman"/>
      <w:lvlText w:val="%6."/>
      <w:lvlJc w:val="right"/>
      <w:pPr>
        <w:ind w:left="13316" w:hanging="180"/>
      </w:pPr>
    </w:lvl>
    <w:lvl w:ilvl="6" w:tplc="0809000F" w:tentative="1">
      <w:start w:val="1"/>
      <w:numFmt w:val="decimal"/>
      <w:lvlText w:val="%7."/>
      <w:lvlJc w:val="left"/>
      <w:pPr>
        <w:ind w:left="14036" w:hanging="360"/>
      </w:pPr>
    </w:lvl>
    <w:lvl w:ilvl="7" w:tplc="08090019" w:tentative="1">
      <w:start w:val="1"/>
      <w:numFmt w:val="lowerLetter"/>
      <w:lvlText w:val="%8."/>
      <w:lvlJc w:val="left"/>
      <w:pPr>
        <w:ind w:left="14756" w:hanging="360"/>
      </w:pPr>
    </w:lvl>
    <w:lvl w:ilvl="8" w:tplc="0809001B" w:tentative="1">
      <w:start w:val="1"/>
      <w:numFmt w:val="lowerRoman"/>
      <w:lvlText w:val="%9."/>
      <w:lvlJc w:val="right"/>
      <w:pPr>
        <w:ind w:left="15476" w:hanging="180"/>
      </w:pPr>
    </w:lvl>
  </w:abstractNum>
  <w:abstractNum w:abstractNumId="29" w15:restartNumberingAfterBreak="0">
    <w:nsid w:val="68304A3F"/>
    <w:multiLevelType w:val="singleLevel"/>
    <w:tmpl w:val="764EE7E4"/>
    <w:lvl w:ilvl="0">
      <w:start w:val="1"/>
      <w:numFmt w:val="bullet"/>
      <w:lvlText w:val=""/>
      <w:lvlJc w:val="left"/>
      <w:pPr>
        <w:tabs>
          <w:tab w:val="num" w:pos="360"/>
        </w:tabs>
        <w:ind w:left="360" w:hanging="360"/>
      </w:pPr>
      <w:rPr>
        <w:rFonts w:ascii="Symbol" w:hAnsi="Symbol" w:hint="default"/>
        <w:color w:val="auto"/>
      </w:rPr>
    </w:lvl>
  </w:abstractNum>
  <w:abstractNum w:abstractNumId="30" w15:restartNumberingAfterBreak="0">
    <w:nsid w:val="6F2C3E2C"/>
    <w:multiLevelType w:val="hybridMultilevel"/>
    <w:tmpl w:val="16DEBF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4C8776C"/>
    <w:multiLevelType w:val="hybridMultilevel"/>
    <w:tmpl w:val="757EC8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770457"/>
    <w:multiLevelType w:val="hybridMultilevel"/>
    <w:tmpl w:val="16ECE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5"/>
  </w:num>
  <w:num w:numId="3">
    <w:abstractNumId w:val="8"/>
  </w:num>
  <w:num w:numId="4">
    <w:abstractNumId w:val="6"/>
  </w:num>
  <w:num w:numId="5">
    <w:abstractNumId w:val="27"/>
  </w:num>
  <w:num w:numId="6">
    <w:abstractNumId w:val="0"/>
  </w:num>
  <w:num w:numId="7">
    <w:abstractNumId w:val="24"/>
  </w:num>
  <w:num w:numId="8">
    <w:abstractNumId w:val="26"/>
  </w:num>
  <w:num w:numId="9">
    <w:abstractNumId w:val="21"/>
  </w:num>
  <w:num w:numId="10">
    <w:abstractNumId w:val="12"/>
  </w:num>
  <w:num w:numId="11">
    <w:abstractNumId w:val="16"/>
  </w:num>
  <w:num w:numId="12">
    <w:abstractNumId w:val="7"/>
  </w:num>
  <w:num w:numId="13">
    <w:abstractNumId w:val="4"/>
  </w:num>
  <w:num w:numId="14">
    <w:abstractNumId w:val="10"/>
  </w:num>
  <w:num w:numId="15">
    <w:abstractNumId w:val="19"/>
  </w:num>
  <w:num w:numId="16">
    <w:abstractNumId w:val="23"/>
  </w:num>
  <w:num w:numId="17">
    <w:abstractNumId w:val="29"/>
  </w:num>
  <w:num w:numId="18">
    <w:abstractNumId w:val="25"/>
  </w:num>
  <w:num w:numId="19">
    <w:abstractNumId w:val="17"/>
  </w:num>
  <w:num w:numId="20">
    <w:abstractNumId w:val="13"/>
  </w:num>
  <w:num w:numId="21">
    <w:abstractNumId w:val="20"/>
  </w:num>
  <w:num w:numId="22">
    <w:abstractNumId w:val="30"/>
  </w:num>
  <w:num w:numId="23">
    <w:abstractNumId w:val="15"/>
  </w:num>
  <w:num w:numId="24">
    <w:abstractNumId w:val="9"/>
  </w:num>
  <w:num w:numId="25">
    <w:abstractNumId w:val="3"/>
  </w:num>
  <w:num w:numId="26">
    <w:abstractNumId w:val="1"/>
  </w:num>
  <w:num w:numId="27">
    <w:abstractNumId w:val="28"/>
  </w:num>
  <w:num w:numId="28">
    <w:abstractNumId w:val="14"/>
  </w:num>
  <w:num w:numId="29">
    <w:abstractNumId w:val="18"/>
  </w:num>
  <w:num w:numId="30">
    <w:abstractNumId w:val="32"/>
  </w:num>
  <w:num w:numId="31">
    <w:abstractNumId w:val="2"/>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19"/>
    <w:rsid w:val="00011432"/>
    <w:rsid w:val="00016A64"/>
    <w:rsid w:val="0003067E"/>
    <w:rsid w:val="0003200B"/>
    <w:rsid w:val="000330E8"/>
    <w:rsid w:val="00041DF5"/>
    <w:rsid w:val="00050170"/>
    <w:rsid w:val="00062CFF"/>
    <w:rsid w:val="00064711"/>
    <w:rsid w:val="000663C1"/>
    <w:rsid w:val="00075309"/>
    <w:rsid w:val="00076F68"/>
    <w:rsid w:val="000776ED"/>
    <w:rsid w:val="00080ABC"/>
    <w:rsid w:val="000C7ABC"/>
    <w:rsid w:val="000D11EA"/>
    <w:rsid w:val="000D4E74"/>
    <w:rsid w:val="000E0728"/>
    <w:rsid w:val="000E4104"/>
    <w:rsid w:val="000F4C04"/>
    <w:rsid w:val="00107076"/>
    <w:rsid w:val="00107EAC"/>
    <w:rsid w:val="00112909"/>
    <w:rsid w:val="0014332F"/>
    <w:rsid w:val="0014798F"/>
    <w:rsid w:val="00151418"/>
    <w:rsid w:val="001520DB"/>
    <w:rsid w:val="0016496C"/>
    <w:rsid w:val="001729D2"/>
    <w:rsid w:val="00184643"/>
    <w:rsid w:val="001A53BE"/>
    <w:rsid w:val="001B61A5"/>
    <w:rsid w:val="001C5A49"/>
    <w:rsid w:val="00244CFB"/>
    <w:rsid w:val="0025400D"/>
    <w:rsid w:val="002570FA"/>
    <w:rsid w:val="0025728D"/>
    <w:rsid w:val="00263019"/>
    <w:rsid w:val="00272AC7"/>
    <w:rsid w:val="00292411"/>
    <w:rsid w:val="00296E83"/>
    <w:rsid w:val="002C00A8"/>
    <w:rsid w:val="002C1272"/>
    <w:rsid w:val="002C7CD9"/>
    <w:rsid w:val="002E0A96"/>
    <w:rsid w:val="002E73FD"/>
    <w:rsid w:val="002F511F"/>
    <w:rsid w:val="002F5BCA"/>
    <w:rsid w:val="00304FB7"/>
    <w:rsid w:val="003232A8"/>
    <w:rsid w:val="00333F3F"/>
    <w:rsid w:val="00340607"/>
    <w:rsid w:val="003418BF"/>
    <w:rsid w:val="003442B7"/>
    <w:rsid w:val="00347420"/>
    <w:rsid w:val="003476CB"/>
    <w:rsid w:val="00376413"/>
    <w:rsid w:val="003837F0"/>
    <w:rsid w:val="00395391"/>
    <w:rsid w:val="003A5108"/>
    <w:rsid w:val="003B74B9"/>
    <w:rsid w:val="003D773A"/>
    <w:rsid w:val="003E1249"/>
    <w:rsid w:val="004215CB"/>
    <w:rsid w:val="00423D17"/>
    <w:rsid w:val="00430D35"/>
    <w:rsid w:val="00451CD8"/>
    <w:rsid w:val="00460A25"/>
    <w:rsid w:val="004934E3"/>
    <w:rsid w:val="004A39A4"/>
    <w:rsid w:val="004A5CAB"/>
    <w:rsid w:val="004B26AC"/>
    <w:rsid w:val="004B2A65"/>
    <w:rsid w:val="004B6E84"/>
    <w:rsid w:val="004F1172"/>
    <w:rsid w:val="004F63F4"/>
    <w:rsid w:val="00501156"/>
    <w:rsid w:val="00521BF1"/>
    <w:rsid w:val="005378E9"/>
    <w:rsid w:val="00543346"/>
    <w:rsid w:val="00550C05"/>
    <w:rsid w:val="00565771"/>
    <w:rsid w:val="005726EF"/>
    <w:rsid w:val="0057568A"/>
    <w:rsid w:val="005876FA"/>
    <w:rsid w:val="005D58E8"/>
    <w:rsid w:val="005D7362"/>
    <w:rsid w:val="0060592D"/>
    <w:rsid w:val="00616F9B"/>
    <w:rsid w:val="00660B54"/>
    <w:rsid w:val="0066329E"/>
    <w:rsid w:val="00664A05"/>
    <w:rsid w:val="00677E85"/>
    <w:rsid w:val="0068596F"/>
    <w:rsid w:val="006C6F07"/>
    <w:rsid w:val="006D53DB"/>
    <w:rsid w:val="006F72F9"/>
    <w:rsid w:val="006F7A0F"/>
    <w:rsid w:val="007016D6"/>
    <w:rsid w:val="007110E8"/>
    <w:rsid w:val="00720909"/>
    <w:rsid w:val="00726294"/>
    <w:rsid w:val="00736047"/>
    <w:rsid w:val="00736178"/>
    <w:rsid w:val="00737EFA"/>
    <w:rsid w:val="00750268"/>
    <w:rsid w:val="007618C8"/>
    <w:rsid w:val="00770651"/>
    <w:rsid w:val="00773112"/>
    <w:rsid w:val="00774A9F"/>
    <w:rsid w:val="00787638"/>
    <w:rsid w:val="00792F36"/>
    <w:rsid w:val="00794E10"/>
    <w:rsid w:val="007A572B"/>
    <w:rsid w:val="007C2877"/>
    <w:rsid w:val="007C66D9"/>
    <w:rsid w:val="007D1AB1"/>
    <w:rsid w:val="007D2B53"/>
    <w:rsid w:val="007D57FA"/>
    <w:rsid w:val="007E448C"/>
    <w:rsid w:val="007E5AE9"/>
    <w:rsid w:val="007E6297"/>
    <w:rsid w:val="007E6874"/>
    <w:rsid w:val="007F203D"/>
    <w:rsid w:val="008137D9"/>
    <w:rsid w:val="008179A3"/>
    <w:rsid w:val="00822DCE"/>
    <w:rsid w:val="00845E3F"/>
    <w:rsid w:val="008672B6"/>
    <w:rsid w:val="008701EF"/>
    <w:rsid w:val="0088099D"/>
    <w:rsid w:val="008826FF"/>
    <w:rsid w:val="00887879"/>
    <w:rsid w:val="00891B37"/>
    <w:rsid w:val="008953E4"/>
    <w:rsid w:val="008A7B1C"/>
    <w:rsid w:val="008C1B21"/>
    <w:rsid w:val="008D0CDC"/>
    <w:rsid w:val="008D3474"/>
    <w:rsid w:val="008E4A8C"/>
    <w:rsid w:val="008F18F5"/>
    <w:rsid w:val="008F5502"/>
    <w:rsid w:val="008F75DC"/>
    <w:rsid w:val="0092324A"/>
    <w:rsid w:val="00927EE6"/>
    <w:rsid w:val="00933BE9"/>
    <w:rsid w:val="0093407B"/>
    <w:rsid w:val="00941634"/>
    <w:rsid w:val="0095218C"/>
    <w:rsid w:val="0096086E"/>
    <w:rsid w:val="00973343"/>
    <w:rsid w:val="009776B1"/>
    <w:rsid w:val="0098410E"/>
    <w:rsid w:val="0098460E"/>
    <w:rsid w:val="009A6827"/>
    <w:rsid w:val="009B5F2F"/>
    <w:rsid w:val="009D0321"/>
    <w:rsid w:val="009F55B4"/>
    <w:rsid w:val="009F72FE"/>
    <w:rsid w:val="00A708C5"/>
    <w:rsid w:val="00A85518"/>
    <w:rsid w:val="00AA14D6"/>
    <w:rsid w:val="00AA6D7F"/>
    <w:rsid w:val="00AF3FD2"/>
    <w:rsid w:val="00B148CB"/>
    <w:rsid w:val="00B17699"/>
    <w:rsid w:val="00B50D3E"/>
    <w:rsid w:val="00B65A39"/>
    <w:rsid w:val="00B723C1"/>
    <w:rsid w:val="00B870E2"/>
    <w:rsid w:val="00B87D6A"/>
    <w:rsid w:val="00B90A6F"/>
    <w:rsid w:val="00BB023F"/>
    <w:rsid w:val="00BC71E5"/>
    <w:rsid w:val="00BD14AA"/>
    <w:rsid w:val="00BE1C71"/>
    <w:rsid w:val="00BE3C46"/>
    <w:rsid w:val="00BF1064"/>
    <w:rsid w:val="00C00796"/>
    <w:rsid w:val="00C03E86"/>
    <w:rsid w:val="00C06B11"/>
    <w:rsid w:val="00C07E63"/>
    <w:rsid w:val="00C164F2"/>
    <w:rsid w:val="00C205C2"/>
    <w:rsid w:val="00C21C92"/>
    <w:rsid w:val="00C26378"/>
    <w:rsid w:val="00C35054"/>
    <w:rsid w:val="00C41380"/>
    <w:rsid w:val="00C65ECB"/>
    <w:rsid w:val="00C75C1A"/>
    <w:rsid w:val="00C843D0"/>
    <w:rsid w:val="00C90072"/>
    <w:rsid w:val="00C90436"/>
    <w:rsid w:val="00C9115C"/>
    <w:rsid w:val="00CA6E30"/>
    <w:rsid w:val="00CB498F"/>
    <w:rsid w:val="00CF00EE"/>
    <w:rsid w:val="00CF11B6"/>
    <w:rsid w:val="00CF1C99"/>
    <w:rsid w:val="00CF390E"/>
    <w:rsid w:val="00CF577E"/>
    <w:rsid w:val="00D012F9"/>
    <w:rsid w:val="00D10D3D"/>
    <w:rsid w:val="00D30B16"/>
    <w:rsid w:val="00D35CD8"/>
    <w:rsid w:val="00D365B5"/>
    <w:rsid w:val="00D40F71"/>
    <w:rsid w:val="00D5376B"/>
    <w:rsid w:val="00D5500A"/>
    <w:rsid w:val="00D60457"/>
    <w:rsid w:val="00D630B5"/>
    <w:rsid w:val="00D64319"/>
    <w:rsid w:val="00D9760A"/>
    <w:rsid w:val="00DB5D70"/>
    <w:rsid w:val="00DB6A9A"/>
    <w:rsid w:val="00DC1C80"/>
    <w:rsid w:val="00DD27E4"/>
    <w:rsid w:val="00DE1466"/>
    <w:rsid w:val="00DE1BAE"/>
    <w:rsid w:val="00E1349C"/>
    <w:rsid w:val="00E15A21"/>
    <w:rsid w:val="00E17B93"/>
    <w:rsid w:val="00E403A2"/>
    <w:rsid w:val="00E4633D"/>
    <w:rsid w:val="00E64702"/>
    <w:rsid w:val="00E82174"/>
    <w:rsid w:val="00E86507"/>
    <w:rsid w:val="00E9107B"/>
    <w:rsid w:val="00E92000"/>
    <w:rsid w:val="00EA46FA"/>
    <w:rsid w:val="00EA4710"/>
    <w:rsid w:val="00EA664C"/>
    <w:rsid w:val="00EB3627"/>
    <w:rsid w:val="00EC361B"/>
    <w:rsid w:val="00ED11E6"/>
    <w:rsid w:val="00EE31EE"/>
    <w:rsid w:val="00F207FF"/>
    <w:rsid w:val="00F44E8D"/>
    <w:rsid w:val="00F46EF9"/>
    <w:rsid w:val="00F52198"/>
    <w:rsid w:val="00F55FBC"/>
    <w:rsid w:val="00F648F7"/>
    <w:rsid w:val="00F70799"/>
    <w:rsid w:val="00F711CA"/>
    <w:rsid w:val="00F74774"/>
    <w:rsid w:val="00F969BD"/>
    <w:rsid w:val="00FB58BE"/>
    <w:rsid w:val="00FC1DB1"/>
    <w:rsid w:val="00FC3893"/>
    <w:rsid w:val="00FC6199"/>
    <w:rsid w:val="00FC6FA9"/>
    <w:rsid w:val="00FD1768"/>
    <w:rsid w:val="00FD4916"/>
    <w:rsid w:val="00FE54C8"/>
    <w:rsid w:val="00FF06CD"/>
    <w:rsid w:val="00FF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5AE69"/>
  <w15:chartTrackingRefBased/>
  <w15:docId w15:val="{635E52D0-2B86-40E7-B1C9-6A103416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592D"/>
    <w:pPr>
      <w:spacing w:after="200" w:line="276" w:lineRule="auto"/>
    </w:pPr>
    <w:rPr>
      <w:rFonts w:eastAsia="Times New Roman"/>
      <w:sz w:val="22"/>
      <w:szCs w:val="22"/>
      <w:lang w:eastAsia="en-US"/>
    </w:rPr>
  </w:style>
  <w:style w:type="paragraph" w:styleId="Heading4">
    <w:name w:val="heading 4"/>
    <w:basedOn w:val="Normal"/>
    <w:next w:val="Normal"/>
    <w:link w:val="Heading4Char"/>
    <w:qFormat/>
    <w:rsid w:val="00080ABC"/>
    <w:pPr>
      <w:keepNext/>
      <w:spacing w:before="240" w:after="60" w:line="240" w:lineRule="auto"/>
      <w:outlineLvl w:val="3"/>
    </w:pPr>
    <w:rPr>
      <w:rFonts w:ascii="Times New Roman" w:eastAsia="Calibri"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0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909"/>
    <w:pPr>
      <w:ind w:left="720"/>
      <w:contextualSpacing/>
    </w:pPr>
  </w:style>
  <w:style w:type="character" w:styleId="CommentReference">
    <w:name w:val="annotation reference"/>
    <w:rsid w:val="00076F68"/>
    <w:rPr>
      <w:sz w:val="16"/>
    </w:rPr>
  </w:style>
  <w:style w:type="paragraph" w:styleId="CommentText">
    <w:name w:val="annotation text"/>
    <w:basedOn w:val="Normal"/>
    <w:link w:val="CommentTextChar"/>
    <w:rsid w:val="00076F68"/>
    <w:pPr>
      <w:spacing w:after="0" w:line="240" w:lineRule="auto"/>
    </w:pPr>
    <w:rPr>
      <w:rFonts w:ascii="Times New Roman" w:eastAsia="Calibri" w:hAnsi="Times New Roman"/>
      <w:sz w:val="20"/>
      <w:szCs w:val="20"/>
    </w:rPr>
  </w:style>
  <w:style w:type="character" w:customStyle="1" w:styleId="CommentTextChar">
    <w:name w:val="Comment Text Char"/>
    <w:link w:val="CommentText"/>
    <w:locked/>
    <w:rsid w:val="00076F68"/>
    <w:rPr>
      <w:rFonts w:ascii="Times New Roman" w:hAnsi="Times New Roman" w:cs="Times New Roman"/>
      <w:sz w:val="20"/>
      <w:szCs w:val="20"/>
    </w:rPr>
  </w:style>
  <w:style w:type="paragraph" w:styleId="BalloonText">
    <w:name w:val="Balloon Text"/>
    <w:basedOn w:val="Normal"/>
    <w:link w:val="BalloonTextChar"/>
    <w:semiHidden/>
    <w:rsid w:val="00076F68"/>
    <w:pPr>
      <w:spacing w:after="0" w:line="240" w:lineRule="auto"/>
    </w:pPr>
    <w:rPr>
      <w:rFonts w:ascii="Tahoma" w:hAnsi="Tahoma" w:cs="Tahoma"/>
      <w:sz w:val="16"/>
      <w:szCs w:val="16"/>
    </w:rPr>
  </w:style>
  <w:style w:type="character" w:customStyle="1" w:styleId="BalloonTextChar">
    <w:name w:val="Balloon Text Char"/>
    <w:link w:val="BalloonText"/>
    <w:semiHidden/>
    <w:locked/>
    <w:rsid w:val="00076F68"/>
    <w:rPr>
      <w:rFonts w:ascii="Tahoma" w:hAnsi="Tahoma" w:cs="Tahoma"/>
      <w:sz w:val="16"/>
      <w:szCs w:val="16"/>
    </w:rPr>
  </w:style>
  <w:style w:type="paragraph" w:styleId="CommentSubject">
    <w:name w:val="annotation subject"/>
    <w:basedOn w:val="CommentText"/>
    <w:next w:val="CommentText"/>
    <w:link w:val="CommentSubjectChar"/>
    <w:semiHidden/>
    <w:rsid w:val="00076F68"/>
    <w:pPr>
      <w:spacing w:after="200"/>
    </w:pPr>
    <w:rPr>
      <w:rFonts w:ascii="Calibri" w:eastAsia="Times New Roman" w:hAnsi="Calibri"/>
      <w:b/>
      <w:bCs/>
    </w:rPr>
  </w:style>
  <w:style w:type="character" w:customStyle="1" w:styleId="CommentSubjectChar">
    <w:name w:val="Comment Subject Char"/>
    <w:link w:val="CommentSubject"/>
    <w:semiHidden/>
    <w:locked/>
    <w:rsid w:val="00076F68"/>
    <w:rPr>
      <w:rFonts w:ascii="Times New Roman" w:hAnsi="Times New Roman" w:cs="Times New Roman"/>
      <w:b/>
      <w:bCs/>
      <w:sz w:val="20"/>
      <w:szCs w:val="20"/>
    </w:rPr>
  </w:style>
  <w:style w:type="character" w:customStyle="1" w:styleId="Heading4Char">
    <w:name w:val="Heading 4 Char"/>
    <w:link w:val="Heading4"/>
    <w:locked/>
    <w:rsid w:val="00080ABC"/>
    <w:rPr>
      <w:rFonts w:ascii="Times New Roman" w:hAnsi="Times New Roman" w:cs="Times New Roman"/>
      <w:b/>
      <w:bCs/>
      <w:sz w:val="28"/>
      <w:szCs w:val="28"/>
    </w:rPr>
  </w:style>
  <w:style w:type="paragraph" w:customStyle="1" w:styleId="Default">
    <w:name w:val="Default"/>
    <w:rsid w:val="00C00796"/>
    <w:pPr>
      <w:autoSpaceDE w:val="0"/>
      <w:autoSpaceDN w:val="0"/>
      <w:adjustRightInd w:val="0"/>
    </w:pPr>
    <w:rPr>
      <w:rFonts w:ascii="Arial" w:eastAsia="Times New Roman" w:hAnsi="Arial" w:cs="Arial"/>
      <w:color w:val="000000"/>
      <w:sz w:val="24"/>
      <w:szCs w:val="24"/>
      <w:lang w:eastAsia="en-US"/>
    </w:rPr>
  </w:style>
  <w:style w:type="paragraph" w:styleId="Header">
    <w:name w:val="header"/>
    <w:basedOn w:val="Normal"/>
    <w:link w:val="HeaderChar"/>
    <w:rsid w:val="00EA664C"/>
    <w:pPr>
      <w:tabs>
        <w:tab w:val="center" w:pos="4513"/>
        <w:tab w:val="right" w:pos="9026"/>
      </w:tabs>
      <w:spacing w:after="0" w:line="240" w:lineRule="auto"/>
    </w:pPr>
  </w:style>
  <w:style w:type="character" w:customStyle="1" w:styleId="HeaderChar">
    <w:name w:val="Header Char"/>
    <w:link w:val="Header"/>
    <w:locked/>
    <w:rsid w:val="00EA664C"/>
    <w:rPr>
      <w:rFonts w:cs="Times New Roman"/>
    </w:rPr>
  </w:style>
  <w:style w:type="paragraph" w:styleId="Footer">
    <w:name w:val="footer"/>
    <w:basedOn w:val="Normal"/>
    <w:link w:val="FooterChar"/>
    <w:uiPriority w:val="99"/>
    <w:rsid w:val="00EA664C"/>
    <w:pPr>
      <w:tabs>
        <w:tab w:val="center" w:pos="4513"/>
        <w:tab w:val="right" w:pos="9026"/>
      </w:tabs>
      <w:spacing w:after="0" w:line="240" w:lineRule="auto"/>
    </w:pPr>
  </w:style>
  <w:style w:type="character" w:customStyle="1" w:styleId="FooterChar">
    <w:name w:val="Footer Char"/>
    <w:link w:val="Footer"/>
    <w:uiPriority w:val="99"/>
    <w:locked/>
    <w:rsid w:val="00EA664C"/>
    <w:rPr>
      <w:rFonts w:cs="Times New Roman"/>
    </w:rPr>
  </w:style>
  <w:style w:type="character" w:styleId="Emphasis">
    <w:name w:val="Emphasis"/>
    <w:qFormat/>
    <w:locked/>
    <w:rsid w:val="009D0321"/>
    <w:rPr>
      <w:i/>
      <w:iCs/>
    </w:rPr>
  </w:style>
  <w:style w:type="paragraph" w:styleId="NoSpacing">
    <w:name w:val="No Spacing"/>
    <w:uiPriority w:val="1"/>
    <w:qFormat/>
    <w:rsid w:val="00FC6199"/>
    <w:rPr>
      <w:sz w:val="22"/>
      <w:szCs w:val="22"/>
      <w:lang w:eastAsia="en-US"/>
    </w:rPr>
  </w:style>
  <w:style w:type="character" w:styleId="Hyperlink">
    <w:name w:val="Hyperlink"/>
    <w:rsid w:val="00E463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4" ma:contentTypeDescription="Create a new document." ma:contentTypeScope="" ma:versionID="f560fa955be3156b8b7824469730aa5c">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23a4f6ffda3de673d0adff44e6ed5d52"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48960-0581-4E69-96E0-7D207DED908F}">
  <ds:schemaRefs>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a903744a-860f-4a92-abb8-6881c533ac67"/>
    <ds:schemaRef ds:uri="aa7a5a93-b345-48db-8abc-9a62914ad5a5"/>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04E99A3-C782-4840-9C2D-F1CC7D48BA7F}">
  <ds:schemaRefs>
    <ds:schemaRef ds:uri="http://schemas.microsoft.com/sharepoint/v3/contenttype/forms"/>
  </ds:schemaRefs>
</ds:datastoreItem>
</file>

<file path=customXml/itemProps3.xml><?xml version="1.0" encoding="utf-8"?>
<ds:datastoreItem xmlns:ds="http://schemas.openxmlformats.org/officeDocument/2006/customXml" ds:itemID="{8417B82C-EF50-4C81-9A44-A1491878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1875</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SAMPLE Reading tracker: EYFS through to Phase A Steps 0/1/2/3 (Y1 range) and A4/5/6 (Y2 range)</vt:lpstr>
    </vt:vector>
  </TitlesOfParts>
  <Company>Hertfordshire County Council</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Reading tracker: EYFS through to Phase A Steps 0/1/2/3 (Y1 range) and A4/5/6 (Y2 range)</dc:title>
  <dc:subject>english primary resources</dc:subject>
  <dc:creator>Herts for Learning</dc:creator>
  <cp:keywords/>
  <cp:lastModifiedBy>Tom Dower</cp:lastModifiedBy>
  <cp:revision>8</cp:revision>
  <dcterms:created xsi:type="dcterms:W3CDTF">2025-11-25T21:56:00Z</dcterms:created>
  <dcterms:modified xsi:type="dcterms:W3CDTF">2025-12-15T10:32:00Z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ies>
</file>